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7FFBC0" w14:textId="3ACCFD69" w:rsidR="0047552B" w:rsidRPr="0047552B" w:rsidRDefault="005D6575" w:rsidP="0047552B">
      <w:pPr>
        <w:jc w:val="center"/>
        <w:rPr>
          <w:rFonts w:ascii="Calibri" w:hAnsi="Calibri"/>
          <w:b/>
          <w:sz w:val="44"/>
          <w:szCs w:val="44"/>
        </w:rPr>
      </w:pPr>
      <w:r>
        <w:rPr>
          <w:rFonts w:ascii="Calibri" w:hAnsi="Calibri"/>
          <w:b/>
          <w:sz w:val="44"/>
          <w:szCs w:val="44"/>
        </w:rPr>
        <w:t xml:space="preserve">Upper </w:t>
      </w:r>
      <w:r w:rsidR="0047552B" w:rsidRPr="0047552B">
        <w:rPr>
          <w:rFonts w:ascii="Calibri" w:hAnsi="Calibri"/>
          <w:b/>
          <w:sz w:val="44"/>
          <w:szCs w:val="44"/>
        </w:rPr>
        <w:t>Missouri</w:t>
      </w:r>
      <w:r w:rsidR="00431CE7">
        <w:rPr>
          <w:rFonts w:ascii="Calibri" w:hAnsi="Calibri"/>
          <w:b/>
          <w:sz w:val="44"/>
          <w:szCs w:val="44"/>
        </w:rPr>
        <w:t xml:space="preserve"> River Water Quality Report </w:t>
      </w:r>
      <w:r w:rsidR="00081787">
        <w:rPr>
          <w:rFonts w:ascii="Calibri" w:hAnsi="Calibri"/>
          <w:b/>
          <w:sz w:val="44"/>
          <w:szCs w:val="44"/>
        </w:rPr>
        <w:t>2018-</w:t>
      </w:r>
      <w:r w:rsidR="00431CE7">
        <w:rPr>
          <w:rFonts w:ascii="Calibri" w:hAnsi="Calibri"/>
          <w:b/>
          <w:sz w:val="44"/>
          <w:szCs w:val="44"/>
        </w:rPr>
        <w:t>201</w:t>
      </w:r>
      <w:r w:rsidR="00081787">
        <w:rPr>
          <w:rFonts w:ascii="Calibri" w:hAnsi="Calibri"/>
          <w:b/>
          <w:sz w:val="44"/>
          <w:szCs w:val="44"/>
        </w:rPr>
        <w:t>9</w:t>
      </w:r>
      <w:r>
        <w:rPr>
          <w:rFonts w:ascii="Calibri" w:hAnsi="Calibri"/>
          <w:b/>
          <w:sz w:val="44"/>
          <w:szCs w:val="44"/>
        </w:rPr>
        <w:t>: Lewis and Clark and Cascade Counties,</w:t>
      </w:r>
      <w:r w:rsidR="0047552B" w:rsidRPr="0047552B">
        <w:rPr>
          <w:rFonts w:ascii="Calibri" w:hAnsi="Calibri"/>
          <w:b/>
          <w:sz w:val="44"/>
          <w:szCs w:val="44"/>
        </w:rPr>
        <w:t xml:space="preserve"> MT</w:t>
      </w:r>
    </w:p>
    <w:p w14:paraId="2AE9D733" w14:textId="77777777" w:rsidR="0047552B" w:rsidRDefault="0047552B"/>
    <w:p w14:paraId="67F17DA4" w14:textId="77777777" w:rsidR="0047552B" w:rsidRDefault="0047552B" w:rsidP="0047552B">
      <w:pPr>
        <w:jc w:val="center"/>
      </w:pPr>
      <w:r>
        <w:t xml:space="preserve">Prepared for:  </w:t>
      </w:r>
    </w:p>
    <w:p w14:paraId="321D5222" w14:textId="77777777" w:rsidR="0047552B" w:rsidRDefault="0047552B" w:rsidP="0047552B">
      <w:pPr>
        <w:jc w:val="center"/>
        <w:rPr>
          <w:b/>
        </w:rPr>
      </w:pPr>
    </w:p>
    <w:p w14:paraId="6028AE03" w14:textId="77777777" w:rsidR="00081787" w:rsidRDefault="00081787" w:rsidP="00081787">
      <w:pPr>
        <w:jc w:val="center"/>
        <w:rPr>
          <w:b/>
        </w:rPr>
      </w:pPr>
      <w:r>
        <w:rPr>
          <w:b/>
        </w:rPr>
        <w:t xml:space="preserve">Alan Shaw </w:t>
      </w:r>
    </w:p>
    <w:p w14:paraId="2E5616ED" w14:textId="576F1697" w:rsidR="00E178FF" w:rsidRDefault="00E178FF" w:rsidP="00E178FF">
      <w:pPr>
        <w:jc w:val="center"/>
        <w:rPr>
          <w:b/>
        </w:rPr>
      </w:pPr>
      <w:r>
        <w:rPr>
          <w:b/>
        </w:rPr>
        <w:t>P</w:t>
      </w:r>
      <w:r w:rsidR="00CD1A29">
        <w:rPr>
          <w:b/>
        </w:rPr>
        <w:t xml:space="preserve">ete Peterson, </w:t>
      </w:r>
      <w:r w:rsidR="00081787">
        <w:rPr>
          <w:b/>
        </w:rPr>
        <w:t xml:space="preserve">Sherry Meador, Bailey Sory and </w:t>
      </w:r>
      <w:r w:rsidR="00CD1A29">
        <w:rPr>
          <w:b/>
        </w:rPr>
        <w:t xml:space="preserve">Pat Hunter </w:t>
      </w:r>
    </w:p>
    <w:p w14:paraId="37BA45FC" w14:textId="71F38370" w:rsidR="00E178FF" w:rsidRDefault="00E178FF" w:rsidP="00E178FF">
      <w:pPr>
        <w:jc w:val="center"/>
        <w:rPr>
          <w:b/>
        </w:rPr>
      </w:pPr>
      <w:r>
        <w:rPr>
          <w:b/>
        </w:rPr>
        <w:t>Project Managers/Co-Chairs</w:t>
      </w:r>
      <w:r w:rsidR="00081787">
        <w:rPr>
          <w:b/>
        </w:rPr>
        <w:t xml:space="preserve">/Board </w:t>
      </w:r>
    </w:p>
    <w:p w14:paraId="3E7FBA59" w14:textId="7424EC4F" w:rsidR="00E178FF" w:rsidRDefault="00E178FF" w:rsidP="00E178FF">
      <w:pPr>
        <w:jc w:val="center"/>
        <w:rPr>
          <w:b/>
        </w:rPr>
      </w:pPr>
    </w:p>
    <w:p w14:paraId="7A607CE7" w14:textId="19B48024" w:rsidR="00E178FF" w:rsidRPr="005D6575" w:rsidRDefault="00E178FF" w:rsidP="00E178FF">
      <w:pPr>
        <w:jc w:val="center"/>
        <w:rPr>
          <w:b/>
          <w:bCs/>
        </w:rPr>
      </w:pPr>
      <w:r w:rsidRPr="005D6575">
        <w:rPr>
          <w:b/>
          <w:bCs/>
        </w:rPr>
        <w:t>Upper Missouri Watershed Alliance</w:t>
      </w:r>
      <w:r w:rsidR="00431CE7" w:rsidRPr="005D6575">
        <w:rPr>
          <w:b/>
          <w:bCs/>
        </w:rPr>
        <w:t xml:space="preserve"> UMOWA</w:t>
      </w:r>
    </w:p>
    <w:p w14:paraId="62A4A5C6" w14:textId="045F5A1B" w:rsidR="00E178FF" w:rsidRPr="005D6575" w:rsidRDefault="00E178FF" w:rsidP="00E178FF">
      <w:pPr>
        <w:jc w:val="center"/>
        <w:rPr>
          <w:b/>
          <w:bCs/>
          <w:sz w:val="22"/>
          <w:szCs w:val="22"/>
        </w:rPr>
      </w:pPr>
      <w:r w:rsidRPr="005D6575">
        <w:rPr>
          <w:b/>
          <w:bCs/>
          <w:sz w:val="22"/>
          <w:szCs w:val="22"/>
        </w:rPr>
        <w:t>Wolf Creek</w:t>
      </w:r>
      <w:r w:rsidR="003265B6" w:rsidRPr="005D6575">
        <w:rPr>
          <w:b/>
          <w:bCs/>
          <w:sz w:val="22"/>
          <w:szCs w:val="22"/>
        </w:rPr>
        <w:t>, Montana</w:t>
      </w:r>
    </w:p>
    <w:p w14:paraId="0705F999" w14:textId="1354D39E" w:rsidR="00431CE7" w:rsidRPr="005D6575" w:rsidRDefault="005D6575">
      <w:pPr>
        <w:rPr>
          <w:b/>
          <w:bCs/>
          <w:sz w:val="22"/>
          <w:szCs w:val="22"/>
        </w:rPr>
      </w:pPr>
      <w:r>
        <w:rPr>
          <w:noProof/>
        </w:rPr>
        <w:drawing>
          <wp:anchor distT="0" distB="0" distL="114300" distR="114300" simplePos="0" relativeHeight="251658240" behindDoc="0" locked="0" layoutInCell="1" allowOverlap="1" wp14:anchorId="1C05AB01" wp14:editId="384712F7">
            <wp:simplePos x="0" y="0"/>
            <wp:positionH relativeFrom="margin">
              <wp:align>center</wp:align>
            </wp:positionH>
            <wp:positionV relativeFrom="margin">
              <wp:posOffset>2745105</wp:posOffset>
            </wp:positionV>
            <wp:extent cx="4772025" cy="3578860"/>
            <wp:effectExtent l="0" t="0" r="9525" b="254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72025" cy="357886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039B07F4" w14:textId="45A2D867" w:rsidR="00D97165" w:rsidRDefault="00D97165" w:rsidP="00D97165">
      <w:pPr>
        <w:keepNext/>
      </w:pPr>
    </w:p>
    <w:p w14:paraId="4E160768" w14:textId="12E00219" w:rsidR="00D97165" w:rsidRDefault="00D97165" w:rsidP="0047552B">
      <w:pPr>
        <w:jc w:val="center"/>
      </w:pPr>
    </w:p>
    <w:p w14:paraId="77C66F24" w14:textId="77777777" w:rsidR="00431CE7" w:rsidRDefault="00431CE7" w:rsidP="0047552B">
      <w:pPr>
        <w:jc w:val="center"/>
      </w:pPr>
    </w:p>
    <w:p w14:paraId="23D04738" w14:textId="77777777" w:rsidR="0047552B" w:rsidRDefault="0047552B" w:rsidP="0047552B">
      <w:pPr>
        <w:jc w:val="center"/>
      </w:pPr>
      <w:r>
        <w:t>Prepared by:</w:t>
      </w:r>
    </w:p>
    <w:p w14:paraId="0848E991" w14:textId="2474B81E" w:rsidR="0047552B" w:rsidRDefault="00081787" w:rsidP="0047552B">
      <w:pPr>
        <w:jc w:val="center"/>
        <w:rPr>
          <w:b/>
        </w:rPr>
      </w:pPr>
      <w:r>
        <w:rPr>
          <w:b/>
        </w:rPr>
        <w:t>Dave Stagliano</w:t>
      </w:r>
      <w:r w:rsidR="00252512">
        <w:rPr>
          <w:b/>
        </w:rPr>
        <w:t>, Montana Biological Survey</w:t>
      </w:r>
    </w:p>
    <w:p w14:paraId="64B7EC06" w14:textId="1BBA5E9E" w:rsidR="0047552B" w:rsidRPr="00CE13AC" w:rsidRDefault="00081787" w:rsidP="00CE13AC">
      <w:pPr>
        <w:jc w:val="center"/>
        <w:rPr>
          <w:b/>
        </w:rPr>
      </w:pPr>
      <w:r>
        <w:rPr>
          <w:b/>
        </w:rPr>
        <w:t>April 2020</w:t>
      </w:r>
    </w:p>
    <w:p w14:paraId="51800696" w14:textId="6476CFFD" w:rsidR="00401713" w:rsidRPr="00D97165" w:rsidRDefault="00401713" w:rsidP="00D97165">
      <w:pPr>
        <w:jc w:val="center"/>
      </w:pPr>
    </w:p>
    <w:p w14:paraId="47B8A731" w14:textId="3FCC2130" w:rsidR="00281E7B" w:rsidRDefault="00281E7B" w:rsidP="00743778">
      <w:pPr>
        <w:pStyle w:val="TOC1"/>
        <w:tabs>
          <w:tab w:val="right" w:leader="dot" w:pos="8630"/>
        </w:tabs>
        <w:jc w:val="center"/>
        <w:rPr>
          <w:b/>
          <w:color w:val="1F497D" w:themeColor="text2"/>
          <w:sz w:val="32"/>
          <w:szCs w:val="32"/>
        </w:rPr>
      </w:pPr>
    </w:p>
    <w:p w14:paraId="61B4B44F" w14:textId="1F9AC5B5" w:rsidR="00281E7B" w:rsidRDefault="003C56D3" w:rsidP="00743778">
      <w:pPr>
        <w:pStyle w:val="TOC1"/>
        <w:tabs>
          <w:tab w:val="right" w:leader="dot" w:pos="8630"/>
        </w:tabs>
        <w:jc w:val="center"/>
        <w:rPr>
          <w:b/>
          <w:color w:val="1F497D" w:themeColor="text2"/>
          <w:sz w:val="32"/>
          <w:szCs w:val="32"/>
        </w:rPr>
      </w:pPr>
      <w:r>
        <w:rPr>
          <w:noProof/>
        </w:rPr>
        <w:drawing>
          <wp:anchor distT="0" distB="0" distL="114300" distR="114300" simplePos="0" relativeHeight="251657216" behindDoc="0" locked="0" layoutInCell="1" allowOverlap="1" wp14:anchorId="4851F771" wp14:editId="3FE8EEF8">
            <wp:simplePos x="0" y="0"/>
            <wp:positionH relativeFrom="margin">
              <wp:align>center</wp:align>
            </wp:positionH>
            <wp:positionV relativeFrom="margin">
              <wp:posOffset>7048500</wp:posOffset>
            </wp:positionV>
            <wp:extent cx="4172585" cy="1409700"/>
            <wp:effectExtent l="0" t="0" r="0" b="0"/>
            <wp:wrapSquare wrapText="bothSides"/>
            <wp:docPr id="1" name="Picture 1" descr="Macintosh HD:Users:Braden:Desktop:UMOWA-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Braden:Desktop:UMOWA-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72585" cy="1409700"/>
                    </a:xfrm>
                    <a:prstGeom prst="rect">
                      <a:avLst/>
                    </a:prstGeom>
                    <a:noFill/>
                    <a:ln>
                      <a:noFill/>
                    </a:ln>
                  </pic:spPr>
                </pic:pic>
              </a:graphicData>
            </a:graphic>
          </wp:anchor>
        </w:drawing>
      </w:r>
    </w:p>
    <w:p w14:paraId="0CB35921" w14:textId="138471C5" w:rsidR="00281E7B" w:rsidRDefault="00281E7B" w:rsidP="00743778">
      <w:pPr>
        <w:pStyle w:val="TOC1"/>
        <w:tabs>
          <w:tab w:val="right" w:leader="dot" w:pos="8630"/>
        </w:tabs>
        <w:jc w:val="center"/>
        <w:rPr>
          <w:b/>
          <w:color w:val="1F497D" w:themeColor="text2"/>
          <w:sz w:val="32"/>
          <w:szCs w:val="32"/>
        </w:rPr>
      </w:pPr>
    </w:p>
    <w:p w14:paraId="5B0D4A63" w14:textId="0685E15B" w:rsidR="003C56D3" w:rsidRDefault="003C56D3" w:rsidP="003C56D3"/>
    <w:p w14:paraId="151FA82C" w14:textId="687A3C1E" w:rsidR="003C56D3" w:rsidRDefault="003C56D3" w:rsidP="003C56D3"/>
    <w:p w14:paraId="1CA9B615" w14:textId="1C4509EF" w:rsidR="003C56D3" w:rsidRDefault="003C56D3" w:rsidP="003C56D3"/>
    <w:p w14:paraId="63753826" w14:textId="7850A059" w:rsidR="003C56D3" w:rsidRDefault="003C56D3" w:rsidP="003C56D3"/>
    <w:p w14:paraId="1BA879D2" w14:textId="29563AFE" w:rsidR="003C56D3" w:rsidRDefault="003C56D3" w:rsidP="003C56D3"/>
    <w:p w14:paraId="6C21E39C" w14:textId="27B1E8D4" w:rsidR="003C56D3" w:rsidRDefault="003C56D3" w:rsidP="003C56D3"/>
    <w:p w14:paraId="2256A679" w14:textId="713D3DCE" w:rsidR="003C56D3" w:rsidRDefault="003C56D3" w:rsidP="003C56D3"/>
    <w:p w14:paraId="42C09C25" w14:textId="1541CE37" w:rsidR="0004261E" w:rsidRDefault="00743778" w:rsidP="00743778">
      <w:pPr>
        <w:pStyle w:val="TOC1"/>
        <w:tabs>
          <w:tab w:val="right" w:leader="dot" w:pos="8630"/>
        </w:tabs>
        <w:jc w:val="center"/>
        <w:rPr>
          <w:noProof/>
        </w:rPr>
      </w:pPr>
      <w:r>
        <w:rPr>
          <w:b/>
          <w:color w:val="1F497D" w:themeColor="text2"/>
          <w:sz w:val="32"/>
          <w:szCs w:val="32"/>
        </w:rPr>
        <w:lastRenderedPageBreak/>
        <w:t>Table of Contents</w:t>
      </w:r>
      <w:r w:rsidR="00B120DC">
        <w:rPr>
          <w:b/>
          <w:color w:val="1F497D" w:themeColor="text2"/>
          <w:sz w:val="32"/>
          <w:szCs w:val="32"/>
        </w:rPr>
        <w:fldChar w:fldCharType="begin"/>
      </w:r>
      <w:r w:rsidR="00B120DC">
        <w:rPr>
          <w:b/>
          <w:color w:val="1F497D" w:themeColor="text2"/>
          <w:sz w:val="32"/>
          <w:szCs w:val="32"/>
        </w:rPr>
        <w:instrText xml:space="preserve"> TOC \o "1-3" </w:instrText>
      </w:r>
      <w:r w:rsidR="00B120DC">
        <w:rPr>
          <w:b/>
          <w:color w:val="1F497D" w:themeColor="text2"/>
          <w:sz w:val="32"/>
          <w:szCs w:val="32"/>
        </w:rPr>
        <w:fldChar w:fldCharType="separate"/>
      </w:r>
    </w:p>
    <w:p w14:paraId="72331147" w14:textId="63516F98" w:rsidR="0004261E" w:rsidRDefault="0004261E">
      <w:pPr>
        <w:pStyle w:val="TOC1"/>
        <w:tabs>
          <w:tab w:val="right" w:leader="dot" w:pos="8630"/>
        </w:tabs>
        <w:rPr>
          <w:noProof/>
          <w:lang w:eastAsia="ja-JP"/>
        </w:rPr>
      </w:pPr>
      <w:r>
        <w:rPr>
          <w:noProof/>
        </w:rPr>
        <w:t>Executive Summary</w:t>
      </w:r>
      <w:r>
        <w:rPr>
          <w:noProof/>
        </w:rPr>
        <w:tab/>
      </w:r>
      <w:r>
        <w:rPr>
          <w:noProof/>
        </w:rPr>
        <w:fldChar w:fldCharType="begin"/>
      </w:r>
      <w:r>
        <w:rPr>
          <w:noProof/>
        </w:rPr>
        <w:instrText xml:space="preserve"> PAGEREF _Toc380156851 \h </w:instrText>
      </w:r>
      <w:r>
        <w:rPr>
          <w:noProof/>
        </w:rPr>
      </w:r>
      <w:r>
        <w:rPr>
          <w:noProof/>
        </w:rPr>
        <w:fldChar w:fldCharType="separate"/>
      </w:r>
      <w:r>
        <w:rPr>
          <w:noProof/>
        </w:rPr>
        <w:t>3</w:t>
      </w:r>
      <w:r>
        <w:rPr>
          <w:noProof/>
        </w:rPr>
        <w:fldChar w:fldCharType="end"/>
      </w:r>
    </w:p>
    <w:p w14:paraId="2C2AC8D4" w14:textId="10574B49" w:rsidR="0004261E" w:rsidRDefault="0004261E">
      <w:pPr>
        <w:pStyle w:val="TOC1"/>
        <w:tabs>
          <w:tab w:val="right" w:leader="dot" w:pos="8630"/>
        </w:tabs>
        <w:rPr>
          <w:noProof/>
          <w:lang w:eastAsia="ja-JP"/>
        </w:rPr>
      </w:pPr>
      <w:r>
        <w:rPr>
          <w:noProof/>
        </w:rPr>
        <w:t>1.0 Introduction</w:t>
      </w:r>
      <w:r>
        <w:rPr>
          <w:noProof/>
        </w:rPr>
        <w:tab/>
      </w:r>
      <w:r>
        <w:rPr>
          <w:noProof/>
        </w:rPr>
        <w:fldChar w:fldCharType="begin"/>
      </w:r>
      <w:r>
        <w:rPr>
          <w:noProof/>
        </w:rPr>
        <w:instrText xml:space="preserve"> PAGEREF _Toc380156852 \h </w:instrText>
      </w:r>
      <w:r>
        <w:rPr>
          <w:noProof/>
        </w:rPr>
      </w:r>
      <w:r>
        <w:rPr>
          <w:noProof/>
        </w:rPr>
        <w:fldChar w:fldCharType="separate"/>
      </w:r>
      <w:r>
        <w:rPr>
          <w:noProof/>
        </w:rPr>
        <w:t>4</w:t>
      </w:r>
      <w:r>
        <w:rPr>
          <w:noProof/>
        </w:rPr>
        <w:fldChar w:fldCharType="end"/>
      </w:r>
    </w:p>
    <w:p w14:paraId="0067468F" w14:textId="22731283" w:rsidR="0004261E" w:rsidRDefault="0004261E">
      <w:pPr>
        <w:pStyle w:val="TOC1"/>
        <w:tabs>
          <w:tab w:val="right" w:leader="dot" w:pos="8630"/>
        </w:tabs>
        <w:rPr>
          <w:noProof/>
          <w:lang w:eastAsia="ja-JP"/>
        </w:rPr>
      </w:pPr>
      <w:r>
        <w:rPr>
          <w:noProof/>
        </w:rPr>
        <w:t>2.0 Methods</w:t>
      </w:r>
      <w:r>
        <w:rPr>
          <w:noProof/>
        </w:rPr>
        <w:tab/>
      </w:r>
      <w:r>
        <w:rPr>
          <w:noProof/>
        </w:rPr>
        <w:fldChar w:fldCharType="begin"/>
      </w:r>
      <w:r>
        <w:rPr>
          <w:noProof/>
        </w:rPr>
        <w:instrText xml:space="preserve"> PAGEREF _Toc380156853 \h </w:instrText>
      </w:r>
      <w:r>
        <w:rPr>
          <w:noProof/>
        </w:rPr>
      </w:r>
      <w:r>
        <w:rPr>
          <w:noProof/>
        </w:rPr>
        <w:fldChar w:fldCharType="separate"/>
      </w:r>
      <w:r>
        <w:rPr>
          <w:noProof/>
        </w:rPr>
        <w:t>5</w:t>
      </w:r>
      <w:r>
        <w:rPr>
          <w:noProof/>
        </w:rPr>
        <w:fldChar w:fldCharType="end"/>
      </w:r>
    </w:p>
    <w:p w14:paraId="150A91C0" w14:textId="7A968E52" w:rsidR="0004261E" w:rsidRDefault="0004261E">
      <w:pPr>
        <w:pStyle w:val="TOC2"/>
        <w:tabs>
          <w:tab w:val="right" w:leader="dot" w:pos="8630"/>
        </w:tabs>
        <w:rPr>
          <w:noProof/>
          <w:lang w:eastAsia="ja-JP"/>
        </w:rPr>
      </w:pPr>
      <w:r>
        <w:rPr>
          <w:noProof/>
        </w:rPr>
        <w:t>2.1 Sample Site Selection</w:t>
      </w:r>
      <w:r>
        <w:rPr>
          <w:noProof/>
        </w:rPr>
        <w:tab/>
      </w:r>
      <w:r>
        <w:rPr>
          <w:noProof/>
        </w:rPr>
        <w:fldChar w:fldCharType="begin"/>
      </w:r>
      <w:r>
        <w:rPr>
          <w:noProof/>
        </w:rPr>
        <w:instrText xml:space="preserve"> PAGEREF _Toc380156854 \h </w:instrText>
      </w:r>
      <w:r>
        <w:rPr>
          <w:noProof/>
        </w:rPr>
      </w:r>
      <w:r>
        <w:rPr>
          <w:noProof/>
        </w:rPr>
        <w:fldChar w:fldCharType="separate"/>
      </w:r>
      <w:r>
        <w:rPr>
          <w:noProof/>
        </w:rPr>
        <w:t>5</w:t>
      </w:r>
      <w:r>
        <w:rPr>
          <w:noProof/>
        </w:rPr>
        <w:fldChar w:fldCharType="end"/>
      </w:r>
    </w:p>
    <w:p w14:paraId="51863643" w14:textId="77777777" w:rsidR="0004261E" w:rsidRDefault="0004261E">
      <w:pPr>
        <w:pStyle w:val="TOC2"/>
        <w:tabs>
          <w:tab w:val="right" w:leader="dot" w:pos="8630"/>
        </w:tabs>
        <w:rPr>
          <w:noProof/>
          <w:lang w:eastAsia="ja-JP"/>
        </w:rPr>
      </w:pPr>
      <w:r>
        <w:rPr>
          <w:noProof/>
        </w:rPr>
        <w:t>2.2 Sample Timing</w:t>
      </w:r>
      <w:r>
        <w:rPr>
          <w:noProof/>
        </w:rPr>
        <w:tab/>
      </w:r>
      <w:r>
        <w:rPr>
          <w:noProof/>
        </w:rPr>
        <w:fldChar w:fldCharType="begin"/>
      </w:r>
      <w:r>
        <w:rPr>
          <w:noProof/>
        </w:rPr>
        <w:instrText xml:space="preserve"> PAGEREF _Toc380156855 \h </w:instrText>
      </w:r>
      <w:r>
        <w:rPr>
          <w:noProof/>
        </w:rPr>
      </w:r>
      <w:r>
        <w:rPr>
          <w:noProof/>
        </w:rPr>
        <w:fldChar w:fldCharType="separate"/>
      </w:r>
      <w:r>
        <w:rPr>
          <w:noProof/>
        </w:rPr>
        <w:t>6</w:t>
      </w:r>
      <w:r>
        <w:rPr>
          <w:noProof/>
        </w:rPr>
        <w:fldChar w:fldCharType="end"/>
      </w:r>
    </w:p>
    <w:p w14:paraId="24DC8370" w14:textId="77777777" w:rsidR="0004261E" w:rsidRDefault="0004261E">
      <w:pPr>
        <w:pStyle w:val="TOC2"/>
        <w:tabs>
          <w:tab w:val="right" w:leader="dot" w:pos="8630"/>
        </w:tabs>
        <w:rPr>
          <w:noProof/>
          <w:lang w:eastAsia="ja-JP"/>
        </w:rPr>
      </w:pPr>
      <w:r>
        <w:rPr>
          <w:noProof/>
        </w:rPr>
        <w:t>2.3 Water Sampling Methods</w:t>
      </w:r>
      <w:r>
        <w:rPr>
          <w:noProof/>
        </w:rPr>
        <w:tab/>
      </w:r>
      <w:r>
        <w:rPr>
          <w:noProof/>
        </w:rPr>
        <w:fldChar w:fldCharType="begin"/>
      </w:r>
      <w:r>
        <w:rPr>
          <w:noProof/>
        </w:rPr>
        <w:instrText xml:space="preserve"> PAGEREF _Toc380156856 \h </w:instrText>
      </w:r>
      <w:r>
        <w:rPr>
          <w:noProof/>
        </w:rPr>
      </w:r>
      <w:r>
        <w:rPr>
          <w:noProof/>
        </w:rPr>
        <w:fldChar w:fldCharType="separate"/>
      </w:r>
      <w:r>
        <w:rPr>
          <w:noProof/>
        </w:rPr>
        <w:t>6</w:t>
      </w:r>
      <w:r>
        <w:rPr>
          <w:noProof/>
        </w:rPr>
        <w:fldChar w:fldCharType="end"/>
      </w:r>
    </w:p>
    <w:p w14:paraId="3AAB163C" w14:textId="00637023" w:rsidR="0004261E" w:rsidRDefault="0004261E">
      <w:pPr>
        <w:pStyle w:val="TOC2"/>
        <w:tabs>
          <w:tab w:val="right" w:leader="dot" w:pos="8630"/>
        </w:tabs>
        <w:rPr>
          <w:noProof/>
          <w:lang w:eastAsia="ja-JP"/>
        </w:rPr>
      </w:pPr>
      <w:r>
        <w:rPr>
          <w:noProof/>
        </w:rPr>
        <w:t>2.4 Quality Assurance – Field Blanks and Duplicates</w:t>
      </w:r>
      <w:r>
        <w:rPr>
          <w:noProof/>
        </w:rPr>
        <w:tab/>
      </w:r>
      <w:r>
        <w:rPr>
          <w:noProof/>
        </w:rPr>
        <w:fldChar w:fldCharType="begin"/>
      </w:r>
      <w:r>
        <w:rPr>
          <w:noProof/>
        </w:rPr>
        <w:instrText xml:space="preserve"> PAGEREF _Toc380156857 \h </w:instrText>
      </w:r>
      <w:r>
        <w:rPr>
          <w:noProof/>
        </w:rPr>
      </w:r>
      <w:r>
        <w:rPr>
          <w:noProof/>
        </w:rPr>
        <w:fldChar w:fldCharType="separate"/>
      </w:r>
      <w:r>
        <w:rPr>
          <w:noProof/>
        </w:rPr>
        <w:t>7</w:t>
      </w:r>
      <w:r>
        <w:rPr>
          <w:noProof/>
        </w:rPr>
        <w:fldChar w:fldCharType="end"/>
      </w:r>
    </w:p>
    <w:p w14:paraId="5080DEA0" w14:textId="5A810785" w:rsidR="0004261E" w:rsidRDefault="0004261E">
      <w:pPr>
        <w:pStyle w:val="TOC2"/>
        <w:tabs>
          <w:tab w:val="right" w:leader="dot" w:pos="8630"/>
        </w:tabs>
        <w:rPr>
          <w:noProof/>
          <w:lang w:eastAsia="ja-JP"/>
        </w:rPr>
      </w:pPr>
      <w:r>
        <w:rPr>
          <w:noProof/>
        </w:rPr>
        <w:t>2.5 Water Quality Analysis</w:t>
      </w:r>
      <w:r>
        <w:rPr>
          <w:noProof/>
        </w:rPr>
        <w:tab/>
      </w:r>
      <w:r>
        <w:rPr>
          <w:noProof/>
        </w:rPr>
        <w:fldChar w:fldCharType="begin"/>
      </w:r>
      <w:r>
        <w:rPr>
          <w:noProof/>
        </w:rPr>
        <w:instrText xml:space="preserve"> PAGEREF _Toc380156858 \h </w:instrText>
      </w:r>
      <w:r>
        <w:rPr>
          <w:noProof/>
        </w:rPr>
      </w:r>
      <w:r>
        <w:rPr>
          <w:noProof/>
        </w:rPr>
        <w:fldChar w:fldCharType="separate"/>
      </w:r>
      <w:r>
        <w:rPr>
          <w:noProof/>
        </w:rPr>
        <w:t>7</w:t>
      </w:r>
      <w:r>
        <w:rPr>
          <w:noProof/>
        </w:rPr>
        <w:fldChar w:fldCharType="end"/>
      </w:r>
    </w:p>
    <w:p w14:paraId="7AE9905D" w14:textId="36456D89" w:rsidR="0004261E" w:rsidRDefault="0004261E">
      <w:pPr>
        <w:pStyle w:val="TOC1"/>
        <w:tabs>
          <w:tab w:val="right" w:leader="dot" w:pos="8630"/>
        </w:tabs>
        <w:rPr>
          <w:noProof/>
          <w:lang w:eastAsia="ja-JP"/>
        </w:rPr>
      </w:pPr>
      <w:r>
        <w:rPr>
          <w:noProof/>
        </w:rPr>
        <w:t>3.0 Results for 201</w:t>
      </w:r>
      <w:r w:rsidR="005C177B">
        <w:rPr>
          <w:noProof/>
        </w:rPr>
        <w:t>8</w:t>
      </w:r>
      <w:r w:rsidR="005D6575">
        <w:rPr>
          <w:noProof/>
        </w:rPr>
        <w:t>-2019</w:t>
      </w:r>
      <w:r>
        <w:rPr>
          <w:noProof/>
        </w:rPr>
        <w:tab/>
      </w:r>
      <w:r>
        <w:rPr>
          <w:noProof/>
        </w:rPr>
        <w:fldChar w:fldCharType="begin"/>
      </w:r>
      <w:r>
        <w:rPr>
          <w:noProof/>
        </w:rPr>
        <w:instrText xml:space="preserve"> PAGEREF _Toc380156859 \h </w:instrText>
      </w:r>
      <w:r>
        <w:rPr>
          <w:noProof/>
        </w:rPr>
      </w:r>
      <w:r>
        <w:rPr>
          <w:noProof/>
        </w:rPr>
        <w:fldChar w:fldCharType="separate"/>
      </w:r>
      <w:r>
        <w:rPr>
          <w:noProof/>
        </w:rPr>
        <w:t>7</w:t>
      </w:r>
      <w:r>
        <w:rPr>
          <w:noProof/>
        </w:rPr>
        <w:fldChar w:fldCharType="end"/>
      </w:r>
    </w:p>
    <w:p w14:paraId="6D5443BB" w14:textId="77777777" w:rsidR="0004261E" w:rsidRDefault="0004261E">
      <w:pPr>
        <w:pStyle w:val="TOC2"/>
        <w:tabs>
          <w:tab w:val="right" w:leader="dot" w:pos="8630"/>
        </w:tabs>
        <w:rPr>
          <w:noProof/>
          <w:lang w:eastAsia="ja-JP"/>
        </w:rPr>
      </w:pPr>
      <w:r>
        <w:rPr>
          <w:noProof/>
        </w:rPr>
        <w:t>3.1 Total Dissolved Solids</w:t>
      </w:r>
      <w:r>
        <w:rPr>
          <w:noProof/>
        </w:rPr>
        <w:tab/>
      </w:r>
      <w:r>
        <w:rPr>
          <w:noProof/>
        </w:rPr>
        <w:fldChar w:fldCharType="begin"/>
      </w:r>
      <w:r>
        <w:rPr>
          <w:noProof/>
        </w:rPr>
        <w:instrText xml:space="preserve"> PAGEREF _Toc380156860 \h </w:instrText>
      </w:r>
      <w:r>
        <w:rPr>
          <w:noProof/>
        </w:rPr>
      </w:r>
      <w:r>
        <w:rPr>
          <w:noProof/>
        </w:rPr>
        <w:fldChar w:fldCharType="separate"/>
      </w:r>
      <w:r>
        <w:rPr>
          <w:noProof/>
        </w:rPr>
        <w:t>8</w:t>
      </w:r>
      <w:r>
        <w:rPr>
          <w:noProof/>
        </w:rPr>
        <w:fldChar w:fldCharType="end"/>
      </w:r>
    </w:p>
    <w:p w14:paraId="54B75831" w14:textId="599E3C9F" w:rsidR="0004261E" w:rsidRDefault="0004261E">
      <w:pPr>
        <w:pStyle w:val="TOC2"/>
        <w:tabs>
          <w:tab w:val="right" w:leader="dot" w:pos="8630"/>
        </w:tabs>
        <w:rPr>
          <w:noProof/>
          <w:lang w:eastAsia="ja-JP"/>
        </w:rPr>
      </w:pPr>
      <w:r>
        <w:rPr>
          <w:noProof/>
        </w:rPr>
        <w:t>3.2 Total Suspended Solids</w:t>
      </w:r>
      <w:r>
        <w:rPr>
          <w:noProof/>
        </w:rPr>
        <w:tab/>
      </w:r>
      <w:r>
        <w:rPr>
          <w:noProof/>
        </w:rPr>
        <w:fldChar w:fldCharType="begin"/>
      </w:r>
      <w:r>
        <w:rPr>
          <w:noProof/>
        </w:rPr>
        <w:instrText xml:space="preserve"> PAGEREF _Toc380156861 \h </w:instrText>
      </w:r>
      <w:r>
        <w:rPr>
          <w:noProof/>
        </w:rPr>
      </w:r>
      <w:r>
        <w:rPr>
          <w:noProof/>
        </w:rPr>
        <w:fldChar w:fldCharType="separate"/>
      </w:r>
      <w:r>
        <w:rPr>
          <w:noProof/>
        </w:rPr>
        <w:t>8</w:t>
      </w:r>
      <w:r>
        <w:rPr>
          <w:noProof/>
        </w:rPr>
        <w:fldChar w:fldCharType="end"/>
      </w:r>
    </w:p>
    <w:p w14:paraId="18BF2200" w14:textId="77777777" w:rsidR="0004261E" w:rsidRDefault="0004261E">
      <w:pPr>
        <w:pStyle w:val="TOC2"/>
        <w:tabs>
          <w:tab w:val="right" w:leader="dot" w:pos="8630"/>
        </w:tabs>
        <w:rPr>
          <w:noProof/>
          <w:lang w:eastAsia="ja-JP"/>
        </w:rPr>
      </w:pPr>
      <w:r>
        <w:rPr>
          <w:noProof/>
        </w:rPr>
        <w:t>3.3 Inorganic Nitrogen</w:t>
      </w:r>
      <w:r>
        <w:rPr>
          <w:noProof/>
        </w:rPr>
        <w:tab/>
      </w:r>
      <w:r>
        <w:rPr>
          <w:noProof/>
        </w:rPr>
        <w:fldChar w:fldCharType="begin"/>
      </w:r>
      <w:r>
        <w:rPr>
          <w:noProof/>
        </w:rPr>
        <w:instrText xml:space="preserve"> PAGEREF _Toc380156862 \h </w:instrText>
      </w:r>
      <w:r>
        <w:rPr>
          <w:noProof/>
        </w:rPr>
      </w:r>
      <w:r>
        <w:rPr>
          <w:noProof/>
        </w:rPr>
        <w:fldChar w:fldCharType="separate"/>
      </w:r>
      <w:r>
        <w:rPr>
          <w:noProof/>
        </w:rPr>
        <w:t>9</w:t>
      </w:r>
      <w:r>
        <w:rPr>
          <w:noProof/>
        </w:rPr>
        <w:fldChar w:fldCharType="end"/>
      </w:r>
    </w:p>
    <w:p w14:paraId="77881770" w14:textId="77777777" w:rsidR="0004261E" w:rsidRDefault="0004261E">
      <w:pPr>
        <w:pStyle w:val="TOC2"/>
        <w:tabs>
          <w:tab w:val="right" w:leader="dot" w:pos="8630"/>
        </w:tabs>
        <w:rPr>
          <w:noProof/>
          <w:lang w:eastAsia="ja-JP"/>
        </w:rPr>
      </w:pPr>
      <w:r>
        <w:rPr>
          <w:noProof/>
        </w:rPr>
        <w:t>3.4 Total Nitrogen</w:t>
      </w:r>
      <w:r>
        <w:rPr>
          <w:noProof/>
        </w:rPr>
        <w:tab/>
      </w:r>
      <w:r>
        <w:rPr>
          <w:noProof/>
        </w:rPr>
        <w:fldChar w:fldCharType="begin"/>
      </w:r>
      <w:r>
        <w:rPr>
          <w:noProof/>
        </w:rPr>
        <w:instrText xml:space="preserve"> PAGEREF _Toc380156863 \h </w:instrText>
      </w:r>
      <w:r>
        <w:rPr>
          <w:noProof/>
        </w:rPr>
      </w:r>
      <w:r>
        <w:rPr>
          <w:noProof/>
        </w:rPr>
        <w:fldChar w:fldCharType="separate"/>
      </w:r>
      <w:r>
        <w:rPr>
          <w:noProof/>
        </w:rPr>
        <w:t>9</w:t>
      </w:r>
      <w:r>
        <w:rPr>
          <w:noProof/>
        </w:rPr>
        <w:fldChar w:fldCharType="end"/>
      </w:r>
    </w:p>
    <w:p w14:paraId="3AF821CB" w14:textId="60A3F719" w:rsidR="0004261E" w:rsidRDefault="0004261E">
      <w:pPr>
        <w:pStyle w:val="TOC2"/>
        <w:tabs>
          <w:tab w:val="right" w:leader="dot" w:pos="8630"/>
        </w:tabs>
        <w:rPr>
          <w:noProof/>
          <w:lang w:eastAsia="ja-JP"/>
        </w:rPr>
      </w:pPr>
      <w:r>
        <w:rPr>
          <w:noProof/>
        </w:rPr>
        <w:t>3.5 Total Phosphorus</w:t>
      </w:r>
      <w:r>
        <w:rPr>
          <w:noProof/>
        </w:rPr>
        <w:tab/>
      </w:r>
      <w:r w:rsidR="00770C4B">
        <w:rPr>
          <w:noProof/>
        </w:rPr>
        <w:t>12</w:t>
      </w:r>
    </w:p>
    <w:p w14:paraId="5C353732" w14:textId="4042297C" w:rsidR="0004261E" w:rsidRDefault="0004261E">
      <w:pPr>
        <w:pStyle w:val="TOC1"/>
        <w:tabs>
          <w:tab w:val="right" w:leader="dot" w:pos="8630"/>
        </w:tabs>
        <w:rPr>
          <w:noProof/>
          <w:lang w:eastAsia="ja-JP"/>
        </w:rPr>
      </w:pPr>
      <w:r>
        <w:rPr>
          <w:noProof/>
        </w:rPr>
        <w:t>4.0 Discussion</w:t>
      </w:r>
      <w:r>
        <w:rPr>
          <w:noProof/>
        </w:rPr>
        <w:tab/>
      </w:r>
      <w:r w:rsidR="00770C4B">
        <w:rPr>
          <w:noProof/>
        </w:rPr>
        <w:t>15</w:t>
      </w:r>
    </w:p>
    <w:p w14:paraId="009359D3" w14:textId="2D3FCEDB" w:rsidR="0004261E" w:rsidRDefault="0004261E">
      <w:pPr>
        <w:pStyle w:val="TOC2"/>
        <w:tabs>
          <w:tab w:val="right" w:leader="dot" w:pos="8630"/>
        </w:tabs>
        <w:rPr>
          <w:noProof/>
          <w:lang w:eastAsia="ja-JP"/>
        </w:rPr>
      </w:pPr>
      <w:r>
        <w:rPr>
          <w:noProof/>
        </w:rPr>
        <w:t>4.1 Spatial Trends</w:t>
      </w:r>
      <w:r>
        <w:rPr>
          <w:noProof/>
        </w:rPr>
        <w:tab/>
      </w:r>
      <w:r w:rsidR="00770C4B">
        <w:rPr>
          <w:noProof/>
        </w:rPr>
        <w:t>15</w:t>
      </w:r>
    </w:p>
    <w:p w14:paraId="2FE9B345" w14:textId="3397A742" w:rsidR="0004261E" w:rsidRDefault="0004261E">
      <w:pPr>
        <w:pStyle w:val="TOC2"/>
        <w:tabs>
          <w:tab w:val="right" w:leader="dot" w:pos="8630"/>
        </w:tabs>
        <w:rPr>
          <w:noProof/>
          <w:lang w:eastAsia="ja-JP"/>
        </w:rPr>
      </w:pPr>
      <w:r>
        <w:rPr>
          <w:noProof/>
        </w:rPr>
        <w:t>4.2 Seasonal Trends</w:t>
      </w:r>
      <w:r>
        <w:rPr>
          <w:noProof/>
        </w:rPr>
        <w:tab/>
      </w:r>
      <w:r w:rsidR="00770C4B">
        <w:rPr>
          <w:noProof/>
        </w:rPr>
        <w:t>15</w:t>
      </w:r>
    </w:p>
    <w:p w14:paraId="338F19B6" w14:textId="239BBDA2" w:rsidR="0004261E" w:rsidRDefault="0004261E">
      <w:pPr>
        <w:pStyle w:val="TOC2"/>
        <w:tabs>
          <w:tab w:val="right" w:leader="dot" w:pos="8630"/>
        </w:tabs>
        <w:rPr>
          <w:noProof/>
          <w:lang w:eastAsia="ja-JP"/>
        </w:rPr>
      </w:pPr>
      <w:r>
        <w:rPr>
          <w:noProof/>
        </w:rPr>
        <w:t>4.3 Yearly Trends</w:t>
      </w:r>
      <w:r>
        <w:rPr>
          <w:noProof/>
        </w:rPr>
        <w:tab/>
      </w:r>
      <w:r w:rsidR="00770C4B">
        <w:rPr>
          <w:noProof/>
        </w:rPr>
        <w:t>16</w:t>
      </w:r>
    </w:p>
    <w:p w14:paraId="13DA3093" w14:textId="593E67C0" w:rsidR="0004261E" w:rsidRDefault="0004261E">
      <w:pPr>
        <w:pStyle w:val="TOC1"/>
        <w:tabs>
          <w:tab w:val="right" w:leader="dot" w:pos="8630"/>
        </w:tabs>
        <w:rPr>
          <w:noProof/>
          <w:lang w:eastAsia="ja-JP"/>
        </w:rPr>
      </w:pPr>
      <w:r>
        <w:rPr>
          <w:noProof/>
        </w:rPr>
        <w:t>5.0 Conclusion</w:t>
      </w:r>
      <w:r>
        <w:rPr>
          <w:noProof/>
        </w:rPr>
        <w:tab/>
      </w:r>
      <w:r w:rsidR="00770C4B">
        <w:rPr>
          <w:noProof/>
        </w:rPr>
        <w:t>16</w:t>
      </w:r>
    </w:p>
    <w:p w14:paraId="54EE9A9F" w14:textId="2CCABA21" w:rsidR="005D6575" w:rsidRDefault="005D6575" w:rsidP="005D6575">
      <w:pPr>
        <w:pStyle w:val="TOC1"/>
        <w:tabs>
          <w:tab w:val="right" w:leader="dot" w:pos="8630"/>
        </w:tabs>
        <w:rPr>
          <w:noProof/>
          <w:lang w:eastAsia="ja-JP"/>
        </w:rPr>
      </w:pPr>
      <w:r>
        <w:rPr>
          <w:noProof/>
        </w:rPr>
        <w:t>6.0 References</w:t>
      </w:r>
      <w:r>
        <w:rPr>
          <w:noProof/>
        </w:rPr>
        <w:tab/>
      </w:r>
      <w:r w:rsidR="00770C4B">
        <w:rPr>
          <w:noProof/>
        </w:rPr>
        <w:t>17</w:t>
      </w:r>
    </w:p>
    <w:p w14:paraId="1841EB67" w14:textId="77777777" w:rsidR="005D6575" w:rsidRDefault="005D6575">
      <w:pPr>
        <w:pStyle w:val="TOC1"/>
        <w:tabs>
          <w:tab w:val="right" w:leader="dot" w:pos="8630"/>
        </w:tabs>
        <w:rPr>
          <w:noProof/>
        </w:rPr>
      </w:pPr>
    </w:p>
    <w:p w14:paraId="3486443E" w14:textId="02FEF7CA" w:rsidR="0004261E" w:rsidRDefault="0004261E">
      <w:pPr>
        <w:pStyle w:val="TOC1"/>
        <w:tabs>
          <w:tab w:val="right" w:leader="dot" w:pos="8630"/>
        </w:tabs>
        <w:rPr>
          <w:noProof/>
          <w:lang w:eastAsia="ja-JP"/>
        </w:rPr>
      </w:pPr>
      <w:r>
        <w:rPr>
          <w:noProof/>
        </w:rPr>
        <w:t>Appendix A:  Yearly water quality data for 2016</w:t>
      </w:r>
      <w:r w:rsidR="005C177B">
        <w:rPr>
          <w:noProof/>
        </w:rPr>
        <w:t>-2019</w:t>
      </w:r>
      <w:r>
        <w:rPr>
          <w:noProof/>
        </w:rPr>
        <w:tab/>
      </w:r>
      <w:r w:rsidR="00770C4B">
        <w:rPr>
          <w:noProof/>
        </w:rPr>
        <w:t>18</w:t>
      </w:r>
    </w:p>
    <w:p w14:paraId="53CDDCC4" w14:textId="791ADF9F" w:rsidR="00B120DC" w:rsidRDefault="00B120DC" w:rsidP="0047552B">
      <w:pPr>
        <w:rPr>
          <w:b/>
          <w:color w:val="1F497D" w:themeColor="text2"/>
          <w:sz w:val="32"/>
          <w:szCs w:val="32"/>
        </w:rPr>
      </w:pPr>
      <w:r>
        <w:rPr>
          <w:b/>
          <w:color w:val="1F497D" w:themeColor="text2"/>
          <w:sz w:val="32"/>
          <w:szCs w:val="32"/>
        </w:rPr>
        <w:fldChar w:fldCharType="end"/>
      </w:r>
    </w:p>
    <w:p w14:paraId="4B2C83B7" w14:textId="77777777" w:rsidR="00214640" w:rsidRDefault="00214640" w:rsidP="0047552B">
      <w:pPr>
        <w:rPr>
          <w:b/>
          <w:color w:val="1F497D" w:themeColor="text2"/>
          <w:sz w:val="32"/>
          <w:szCs w:val="32"/>
        </w:rPr>
      </w:pPr>
    </w:p>
    <w:p w14:paraId="05C5ED22" w14:textId="77777777" w:rsidR="00214640" w:rsidRDefault="00214640" w:rsidP="0047552B">
      <w:pPr>
        <w:rPr>
          <w:b/>
          <w:color w:val="1F497D" w:themeColor="text2"/>
          <w:sz w:val="32"/>
          <w:szCs w:val="32"/>
        </w:rPr>
      </w:pPr>
    </w:p>
    <w:p w14:paraId="1526E92D" w14:textId="498CE729" w:rsidR="00214640" w:rsidRDefault="00214640" w:rsidP="0047552B">
      <w:pPr>
        <w:rPr>
          <w:b/>
          <w:color w:val="1F497D" w:themeColor="text2"/>
          <w:sz w:val="32"/>
          <w:szCs w:val="32"/>
        </w:rPr>
      </w:pPr>
    </w:p>
    <w:p w14:paraId="34BF68A4" w14:textId="1897D595" w:rsidR="00214640" w:rsidRDefault="00214640" w:rsidP="0047552B">
      <w:pPr>
        <w:rPr>
          <w:b/>
          <w:color w:val="1F497D" w:themeColor="text2"/>
          <w:sz w:val="32"/>
          <w:szCs w:val="32"/>
        </w:rPr>
      </w:pPr>
    </w:p>
    <w:p w14:paraId="07E09881" w14:textId="4E472EA8" w:rsidR="00743778" w:rsidRDefault="00743778" w:rsidP="0047552B">
      <w:pPr>
        <w:rPr>
          <w:b/>
          <w:color w:val="1F497D" w:themeColor="text2"/>
        </w:rPr>
      </w:pPr>
      <w:r w:rsidRPr="00743778">
        <w:rPr>
          <w:b/>
          <w:color w:val="1F497D" w:themeColor="text2"/>
        </w:rPr>
        <w:t>Acknowledgements</w:t>
      </w:r>
    </w:p>
    <w:p w14:paraId="1BD5B9CD" w14:textId="77777777" w:rsidR="00743778" w:rsidRDefault="00743778" w:rsidP="0047552B">
      <w:pPr>
        <w:rPr>
          <w:b/>
          <w:color w:val="1F497D" w:themeColor="text2"/>
        </w:rPr>
      </w:pPr>
    </w:p>
    <w:p w14:paraId="7145ADFC" w14:textId="6AABCC03" w:rsidR="00743778" w:rsidRPr="00743778" w:rsidRDefault="00743778" w:rsidP="00435746">
      <w:pPr>
        <w:jc w:val="both"/>
      </w:pPr>
      <w:r>
        <w:t>We would like to tha</w:t>
      </w:r>
      <w:r w:rsidR="00393421">
        <w:t xml:space="preserve">nk </w:t>
      </w:r>
      <w:r w:rsidR="0004261E">
        <w:t>Alan Shaw</w:t>
      </w:r>
      <w:r w:rsidR="00393421">
        <w:t xml:space="preserve">, </w:t>
      </w:r>
      <w:r w:rsidR="0004261E">
        <w:t xml:space="preserve">Sherry Meador, </w:t>
      </w:r>
      <w:r w:rsidR="00393421">
        <w:t>Pete Pe</w:t>
      </w:r>
      <w:r w:rsidR="0004261E">
        <w:t>terson</w:t>
      </w:r>
      <w:r>
        <w:t xml:space="preserve"> and the rest of the UMOWA Board for </w:t>
      </w:r>
      <w:r w:rsidR="005D6575">
        <w:t xml:space="preserve">initiating and continued </w:t>
      </w:r>
      <w:r w:rsidR="001C73D4">
        <w:t>support for</w:t>
      </w:r>
      <w:r w:rsidR="005D6575">
        <w:t xml:space="preserve"> </w:t>
      </w:r>
      <w:r>
        <w:t xml:space="preserve">this </w:t>
      </w:r>
      <w:r w:rsidR="005D6575">
        <w:t xml:space="preserve">important </w:t>
      </w:r>
      <w:r>
        <w:t xml:space="preserve">project. </w:t>
      </w:r>
      <w:r w:rsidR="005C177B">
        <w:t xml:space="preserve"> </w:t>
      </w:r>
      <w:r w:rsidR="001C73D4">
        <w:t xml:space="preserve">We thank </w:t>
      </w:r>
      <w:r w:rsidR="005D6575">
        <w:t xml:space="preserve">Braden Lewis </w:t>
      </w:r>
      <w:r w:rsidR="001C73D4">
        <w:t>for</w:t>
      </w:r>
      <w:r w:rsidR="005D6575">
        <w:t xml:space="preserve"> collecting the WQ samples for the past 4 years</w:t>
      </w:r>
      <w:r w:rsidR="00252512">
        <w:t xml:space="preserve"> and preparing previous reports</w:t>
      </w:r>
      <w:r w:rsidR="005D6575">
        <w:t xml:space="preserve">.  </w:t>
      </w:r>
      <w:r w:rsidR="00CD1A29">
        <w:t>Montana DEQ</w:t>
      </w:r>
      <w:r w:rsidR="005C177B">
        <w:t xml:space="preserve"> </w:t>
      </w:r>
      <w:r w:rsidR="00E17872">
        <w:t xml:space="preserve">has </w:t>
      </w:r>
      <w:r w:rsidR="00393421">
        <w:t>provided funding for the water sampl</w:t>
      </w:r>
      <w:r w:rsidR="00E17872">
        <w:t>e</w:t>
      </w:r>
      <w:r w:rsidR="00393421">
        <w:t xml:space="preserve"> analysis by </w:t>
      </w:r>
      <w:r w:rsidR="00CD1A29">
        <w:t>Energy Laboratories</w:t>
      </w:r>
      <w:r w:rsidR="00E17872">
        <w:t>,</w:t>
      </w:r>
      <w:r w:rsidR="00CD1A29">
        <w:t xml:space="preserve"> Inc.</w:t>
      </w:r>
      <w:r w:rsidR="00E17872">
        <w:t xml:space="preserve"> in Helena, MT.</w:t>
      </w:r>
      <w:r w:rsidR="005C177B">
        <w:t xml:space="preserve">  Katie </w:t>
      </w:r>
      <w:r w:rsidR="004C30AE" w:rsidRPr="004C30AE">
        <w:t>Makarowski</w:t>
      </w:r>
      <w:r w:rsidR="005C177B">
        <w:t>, MDEQ</w:t>
      </w:r>
      <w:r w:rsidR="003C56D3">
        <w:t xml:space="preserve"> Watershed Planner</w:t>
      </w:r>
      <w:r w:rsidR="005C177B">
        <w:t xml:space="preserve">, was especially helpful </w:t>
      </w:r>
      <w:r w:rsidR="001B035E">
        <w:t xml:space="preserve">in developing our </w:t>
      </w:r>
      <w:r w:rsidR="00770C4B">
        <w:t xml:space="preserve">WQ </w:t>
      </w:r>
      <w:r w:rsidR="001B035E">
        <w:t xml:space="preserve">SAP </w:t>
      </w:r>
      <w:r w:rsidR="005C177B">
        <w:t xml:space="preserve">as the </w:t>
      </w:r>
      <w:r w:rsidR="00E40FFF">
        <w:t>319-watershed</w:t>
      </w:r>
      <w:r w:rsidR="003C56D3">
        <w:t xml:space="preserve"> grant coordinator.</w:t>
      </w:r>
    </w:p>
    <w:p w14:paraId="0492C4B7" w14:textId="09968D01" w:rsidR="00214640" w:rsidRDefault="00214640" w:rsidP="00435746">
      <w:pPr>
        <w:pStyle w:val="Heading1"/>
        <w:jc w:val="both"/>
      </w:pPr>
    </w:p>
    <w:p w14:paraId="4856D369" w14:textId="77777777" w:rsidR="00214640" w:rsidRDefault="00214640" w:rsidP="00CE13AC">
      <w:pPr>
        <w:pStyle w:val="Heading1"/>
      </w:pPr>
    </w:p>
    <w:p w14:paraId="03671076" w14:textId="77777777" w:rsidR="00CE13AC" w:rsidRDefault="00CE13AC" w:rsidP="00CE13AC"/>
    <w:p w14:paraId="05DEDEA3" w14:textId="77777777" w:rsidR="00214640" w:rsidRDefault="00214640" w:rsidP="00CE13AC"/>
    <w:p w14:paraId="520FC08C" w14:textId="77777777" w:rsidR="00214640" w:rsidRDefault="00214640" w:rsidP="00CE13AC"/>
    <w:p w14:paraId="415A9094" w14:textId="77777777" w:rsidR="00214640" w:rsidRDefault="00214640" w:rsidP="00CE13AC"/>
    <w:p w14:paraId="4A694FD0" w14:textId="77777777" w:rsidR="00214640" w:rsidRDefault="00214640" w:rsidP="00214640">
      <w:pPr>
        <w:pStyle w:val="Heading1"/>
      </w:pPr>
      <w:bookmarkStart w:id="0" w:name="_Toc380156851"/>
      <w:r w:rsidRPr="00D97165">
        <w:lastRenderedPageBreak/>
        <w:t>Executive Summary</w:t>
      </w:r>
      <w:bookmarkEnd w:id="0"/>
    </w:p>
    <w:p w14:paraId="4527B46E" w14:textId="77777777" w:rsidR="00214640" w:rsidRDefault="00214640" w:rsidP="00CE13AC"/>
    <w:p w14:paraId="23EF2EF9" w14:textId="3EA9EE55" w:rsidR="00CE13AC" w:rsidRDefault="00CE13AC" w:rsidP="00100480">
      <w:pPr>
        <w:jc w:val="both"/>
      </w:pPr>
      <w:r>
        <w:t xml:space="preserve">In 2016, </w:t>
      </w:r>
      <w:r w:rsidR="00281E7B">
        <w:t>t</w:t>
      </w:r>
      <w:r w:rsidR="008908BB">
        <w:t>he Upper Missouri Watershed Alliance (UMOWA)</w:t>
      </w:r>
      <w:r>
        <w:t xml:space="preserve"> began collecting water quality data at seven sites on the Upper Missouri River between Wolf Creek and Cascade. </w:t>
      </w:r>
      <w:r w:rsidR="00E17872">
        <w:t xml:space="preserve"> </w:t>
      </w:r>
      <w:r>
        <w:t>These sites were chosen to coincide with pre</w:t>
      </w:r>
      <w:r w:rsidR="00281E7B">
        <w:t>-</w:t>
      </w:r>
      <w:r>
        <w:t xml:space="preserve">existing </w:t>
      </w:r>
      <w:r w:rsidR="00281E7B">
        <w:t xml:space="preserve">long-term monitoring </w:t>
      </w:r>
      <w:r>
        <w:t xml:space="preserve">sites that were established </w:t>
      </w:r>
      <w:r w:rsidR="00281E7B">
        <w:t xml:space="preserve">in 2015 </w:t>
      </w:r>
      <w:r>
        <w:t xml:space="preserve">for </w:t>
      </w:r>
      <w:r w:rsidR="00281E7B">
        <w:t>macroinvertebrate</w:t>
      </w:r>
      <w:r>
        <w:t xml:space="preserve"> sampling by Montana Biological Survey. </w:t>
      </w:r>
      <w:r w:rsidR="00EB3418">
        <w:t xml:space="preserve"> </w:t>
      </w:r>
      <w:r w:rsidR="002C7B24">
        <w:t>2019</w:t>
      </w:r>
      <w:r w:rsidR="00A42148">
        <w:t xml:space="preserve"> </w:t>
      </w:r>
      <w:r w:rsidR="00C261B6">
        <w:t>marks</w:t>
      </w:r>
      <w:r w:rsidR="00A42148">
        <w:t xml:space="preserve"> the </w:t>
      </w:r>
      <w:r w:rsidR="00281E7B">
        <w:t>4</w:t>
      </w:r>
      <w:r w:rsidR="00281E7B" w:rsidRPr="00100480">
        <w:rPr>
          <w:vertAlign w:val="superscript"/>
        </w:rPr>
        <w:t>th</w:t>
      </w:r>
      <w:r w:rsidR="00281E7B">
        <w:t xml:space="preserve"> </w:t>
      </w:r>
      <w:r w:rsidR="00E40FFF">
        <w:t xml:space="preserve">consecutive </w:t>
      </w:r>
      <w:r w:rsidR="00A42148">
        <w:t>year that water quality samples</w:t>
      </w:r>
      <w:r w:rsidR="00281E7B">
        <w:t xml:space="preserve"> have been</w:t>
      </w:r>
      <w:r w:rsidR="00A42148">
        <w:t xml:space="preserve"> collected. </w:t>
      </w:r>
      <w:r w:rsidR="00100480">
        <w:t xml:space="preserve"> WQ </w:t>
      </w:r>
      <w:r>
        <w:t xml:space="preserve">Samples were </w:t>
      </w:r>
      <w:r w:rsidR="00281E7B">
        <w:t xml:space="preserve">usually collected seasonally in April/May, July and October </w:t>
      </w:r>
      <w:r w:rsidR="00100480">
        <w:t xml:space="preserve">to coincide with </w:t>
      </w:r>
      <w:r w:rsidR="00E17872">
        <w:t xml:space="preserve">macroinvertebrate </w:t>
      </w:r>
      <w:r w:rsidR="00100480">
        <w:t>sampling</w:t>
      </w:r>
      <w:r w:rsidR="00EB3418">
        <w:t>,</w:t>
      </w:r>
      <w:r w:rsidR="00100480">
        <w:t xml:space="preserve"> but in 2018, they were </w:t>
      </w:r>
      <w:r>
        <w:t xml:space="preserve">collected </w:t>
      </w:r>
      <w:r w:rsidR="00A42148">
        <w:t>in</w:t>
      </w:r>
      <w:r w:rsidR="00100480">
        <w:t xml:space="preserve"> June,</w:t>
      </w:r>
      <w:r w:rsidR="00A42148">
        <w:t xml:space="preserve"> July and October</w:t>
      </w:r>
      <w:r>
        <w:t xml:space="preserve">. </w:t>
      </w:r>
      <w:r w:rsidR="00B32517">
        <w:t>Early h</w:t>
      </w:r>
      <w:r>
        <w:t>igh water during the spring of 201</w:t>
      </w:r>
      <w:r w:rsidR="00B32517">
        <w:t>8</w:t>
      </w:r>
      <w:r>
        <w:t xml:space="preserve"> prevented the collection of April samples.</w:t>
      </w:r>
      <w:r w:rsidR="002C7B24">
        <w:t xml:space="preserve"> In 2019, only fall</w:t>
      </w:r>
      <w:r w:rsidR="00C40690">
        <w:t xml:space="preserve"> season (October) </w:t>
      </w:r>
      <w:r w:rsidR="002C7B24">
        <w:t>WQ samples were collected.</w:t>
      </w:r>
    </w:p>
    <w:p w14:paraId="29E9D176" w14:textId="77777777" w:rsidR="00CE13AC" w:rsidRDefault="00CE13AC" w:rsidP="00100480">
      <w:pPr>
        <w:jc w:val="both"/>
      </w:pPr>
    </w:p>
    <w:p w14:paraId="0A156EE4" w14:textId="2EFDBBEC" w:rsidR="00CE13AC" w:rsidRDefault="00CE13AC" w:rsidP="00100480">
      <w:pPr>
        <w:jc w:val="both"/>
      </w:pPr>
      <w:r>
        <w:t xml:space="preserve">The goals of the project </w:t>
      </w:r>
      <w:r w:rsidR="0087568C">
        <w:t>a</w:t>
      </w:r>
      <w:r>
        <w:t>re: 1) to establish baseline water quality data as it may affect benthic macroinvertebrate and plant communities and 2)</w:t>
      </w:r>
      <w:r w:rsidR="002C7B24">
        <w:t xml:space="preserve"> to </w:t>
      </w:r>
      <w:r>
        <w:t>collect baseline information about total suspended</w:t>
      </w:r>
      <w:r w:rsidR="002C7B24">
        <w:t xml:space="preserve">, total </w:t>
      </w:r>
      <w:r>
        <w:t>dissolved solids and nutrients to allow for spatial</w:t>
      </w:r>
      <w:r w:rsidR="00E17872">
        <w:t>ly</w:t>
      </w:r>
      <w:r>
        <w:t xml:space="preserve"> and temporal </w:t>
      </w:r>
      <w:r w:rsidR="00E17872">
        <w:t xml:space="preserve">robust </w:t>
      </w:r>
      <w:r>
        <w:t xml:space="preserve">comparisons of water quality in the Upper Missouri River. </w:t>
      </w:r>
      <w:r w:rsidR="002C7B24">
        <w:t xml:space="preserve"> </w:t>
      </w:r>
      <w:r>
        <w:t xml:space="preserve">In 2016, </w:t>
      </w:r>
      <w:r w:rsidR="0029682E">
        <w:t xml:space="preserve">WQ </w:t>
      </w:r>
      <w:r>
        <w:t xml:space="preserve">samples were analyzed for recoverable metals. </w:t>
      </w:r>
      <w:r w:rsidR="00E17872">
        <w:t>But, i</w:t>
      </w:r>
      <w:r>
        <w:t xml:space="preserve">n 2017, this analysis was </w:t>
      </w:r>
      <w:r w:rsidR="00130AF5">
        <w:t>discontinued</w:t>
      </w:r>
      <w:r>
        <w:t xml:space="preserve"> for financial reasons</w:t>
      </w:r>
      <w:r w:rsidR="0087568C">
        <w:t>,</w:t>
      </w:r>
      <w:r>
        <w:t xml:space="preserve"> and because these m</w:t>
      </w:r>
      <w:r w:rsidR="00C40690">
        <w:t>etals</w:t>
      </w:r>
      <w:r>
        <w:t xml:space="preserve"> were recovered in very low levels in 2016 </w:t>
      </w:r>
      <w:r w:rsidR="0087568C">
        <w:t xml:space="preserve">(except </w:t>
      </w:r>
      <w:r w:rsidR="0029682E">
        <w:t xml:space="preserve">a spring </w:t>
      </w:r>
      <w:r w:rsidR="00F85D89">
        <w:t xml:space="preserve">Arsenic </w:t>
      </w:r>
      <w:r w:rsidR="00C40690">
        <w:t>spike</w:t>
      </w:r>
      <w:r w:rsidR="0029682E">
        <w:t xml:space="preserve"> </w:t>
      </w:r>
      <w:r w:rsidR="0087568C">
        <w:t xml:space="preserve">below Little Prickly Pear Creek) </w:t>
      </w:r>
      <w:r>
        <w:t>suggesting that under current conditions, the</w:t>
      </w:r>
      <w:r w:rsidR="00C40690">
        <w:t>se</w:t>
      </w:r>
      <w:r>
        <w:t xml:space="preserve"> pose</w:t>
      </w:r>
      <w:r w:rsidR="00C40690">
        <w:t>, little to,</w:t>
      </w:r>
      <w:r>
        <w:t xml:space="preserve"> no immediate threat to the Missouri River.</w:t>
      </w:r>
    </w:p>
    <w:p w14:paraId="734BDE31" w14:textId="77777777" w:rsidR="00CE13AC" w:rsidRDefault="00CE13AC" w:rsidP="00100480">
      <w:pPr>
        <w:jc w:val="both"/>
      </w:pPr>
    </w:p>
    <w:p w14:paraId="4097F4F0" w14:textId="09AD5E78" w:rsidR="00CE13AC" w:rsidRDefault="00CE13AC" w:rsidP="00100480">
      <w:pPr>
        <w:jc w:val="both"/>
      </w:pPr>
      <w:r>
        <w:t>The water quality data collected in 201</w:t>
      </w:r>
      <w:r w:rsidR="00100480">
        <w:t>8 and 2019</w:t>
      </w:r>
      <w:r>
        <w:t xml:space="preserve"> </w:t>
      </w:r>
      <w:r w:rsidR="0029682E">
        <w:t xml:space="preserve">has </w:t>
      </w:r>
      <w:r>
        <w:t xml:space="preserve">reinforced the seasonal and spatial trends observed </w:t>
      </w:r>
      <w:r w:rsidR="00435746">
        <w:t>since</w:t>
      </w:r>
      <w:r>
        <w:t xml:space="preserve"> 2016</w:t>
      </w:r>
      <w:r w:rsidR="001203DD">
        <w:t xml:space="preserve"> </w:t>
      </w:r>
      <w:r>
        <w:t>and</w:t>
      </w:r>
      <w:r w:rsidR="00013C0A">
        <w:t xml:space="preserve"> has</w:t>
      </w:r>
      <w:r>
        <w:t xml:space="preserve"> allowed year-to-year comparison</w:t>
      </w:r>
      <w:r w:rsidR="00013C0A">
        <w:t>s</w:t>
      </w:r>
      <w:r>
        <w:t xml:space="preserve"> between 2016 and 201</w:t>
      </w:r>
      <w:r w:rsidR="00435746">
        <w:t>9</w:t>
      </w:r>
      <w:r>
        <w:t>.</w:t>
      </w:r>
      <w:r w:rsidR="00B32517">
        <w:t xml:space="preserve">  Nutrient levels in the mainstem Missouri River have been trending up</w:t>
      </w:r>
      <w:r w:rsidR="00C40690">
        <w:t>ward</w:t>
      </w:r>
      <w:r w:rsidR="00B32517">
        <w:t xml:space="preserve"> over the 4 study years, most notably in the Spring and Fall samples, while below tributaries, concentrations are mediated by the inflows</w:t>
      </w:r>
      <w:r w:rsidR="00270D6C">
        <w:t>.</w:t>
      </w:r>
      <w:r w:rsidR="00B32517">
        <w:t xml:space="preserve"> </w:t>
      </w:r>
    </w:p>
    <w:p w14:paraId="209C6DD6" w14:textId="77777777" w:rsidR="00CE13AC" w:rsidRDefault="00CE13AC" w:rsidP="00100480">
      <w:pPr>
        <w:jc w:val="both"/>
      </w:pPr>
    </w:p>
    <w:p w14:paraId="2C2E6BA2" w14:textId="33D4EA2F" w:rsidR="00CE13AC" w:rsidRDefault="00CE13AC" w:rsidP="00100480">
      <w:pPr>
        <w:jc w:val="both"/>
      </w:pPr>
      <w:r>
        <w:t xml:space="preserve">Overall, nutrient concentrations </w:t>
      </w:r>
      <w:r w:rsidR="00787107">
        <w:t>(Total Nitrogen</w:t>
      </w:r>
      <w:r w:rsidR="000D6AE7">
        <w:t xml:space="preserve"> {TN}</w:t>
      </w:r>
      <w:r w:rsidR="00787107">
        <w:t xml:space="preserve"> and</w:t>
      </w:r>
      <w:r w:rsidR="000D6AE7">
        <w:t xml:space="preserve"> </w:t>
      </w:r>
      <w:r w:rsidR="00787107">
        <w:t>Phosphorus</w:t>
      </w:r>
      <w:r w:rsidR="000D6AE7">
        <w:t xml:space="preserve"> {TP}</w:t>
      </w:r>
      <w:r w:rsidR="00787107">
        <w:t xml:space="preserve">) </w:t>
      </w:r>
      <w:r>
        <w:t xml:space="preserve">were </w:t>
      </w:r>
      <w:r w:rsidR="000D6AE7">
        <w:t xml:space="preserve">significantly </w:t>
      </w:r>
      <w:r>
        <w:t>higher in 201</w:t>
      </w:r>
      <w:r w:rsidR="00787107">
        <w:t>8</w:t>
      </w:r>
      <w:r>
        <w:t xml:space="preserve"> than </w:t>
      </w:r>
      <w:r w:rsidR="00013C0A">
        <w:t xml:space="preserve">reported </w:t>
      </w:r>
      <w:r w:rsidR="00847441">
        <w:t>i</w:t>
      </w:r>
      <w:r w:rsidR="00013C0A">
        <w:t xml:space="preserve">n </w:t>
      </w:r>
      <w:r>
        <w:t>2016</w:t>
      </w:r>
      <w:r w:rsidR="00787107">
        <w:t>, 2017 or 2019</w:t>
      </w:r>
      <w:r>
        <w:t xml:space="preserve">. </w:t>
      </w:r>
      <w:r w:rsidR="00787107">
        <w:t xml:space="preserve"> </w:t>
      </w:r>
      <w:r>
        <w:t>Th</w:t>
      </w:r>
      <w:r w:rsidR="00013C0A">
        <w:t>is</w:t>
      </w:r>
      <w:r>
        <w:t xml:space="preserve"> increase was most apparent during </w:t>
      </w:r>
      <w:r w:rsidR="003916F8">
        <w:t xml:space="preserve">June and </w:t>
      </w:r>
      <w:r>
        <w:t xml:space="preserve">October. </w:t>
      </w:r>
      <w:r w:rsidR="000D6AE7">
        <w:t xml:space="preserve"> </w:t>
      </w:r>
      <w:r>
        <w:t xml:space="preserve">During </w:t>
      </w:r>
      <w:r w:rsidR="003916F8">
        <w:t xml:space="preserve">June </w:t>
      </w:r>
      <w:r w:rsidR="0093445F">
        <w:t>2018</w:t>
      </w:r>
      <w:r>
        <w:t xml:space="preserve">, </w:t>
      </w:r>
      <w:r w:rsidR="003916F8">
        <w:t>six</w:t>
      </w:r>
      <w:r>
        <w:t xml:space="preserve"> sites (</w:t>
      </w:r>
      <w:r w:rsidR="003916F8">
        <w:t>MO_</w:t>
      </w:r>
      <w:r>
        <w:t>LPPC</w:t>
      </w:r>
      <w:r w:rsidR="00847441">
        <w:t>_</w:t>
      </w:r>
      <w:r>
        <w:t xml:space="preserve">US, </w:t>
      </w:r>
      <w:r w:rsidR="003916F8">
        <w:t xml:space="preserve">MO_LLPC_DS, </w:t>
      </w:r>
      <w:r w:rsidR="003844EB">
        <w:t>MO Craig</w:t>
      </w:r>
      <w:r>
        <w:t xml:space="preserve">, </w:t>
      </w:r>
      <w:r w:rsidR="000D6AE7">
        <w:t>MO_</w:t>
      </w:r>
      <w:r>
        <w:t>Dearborn</w:t>
      </w:r>
      <w:r w:rsidR="000D6AE7">
        <w:t>_</w:t>
      </w:r>
      <w:r>
        <w:t>US</w:t>
      </w:r>
      <w:r w:rsidR="000D6AE7">
        <w:t xml:space="preserve">, </w:t>
      </w:r>
      <w:r>
        <w:t xml:space="preserve"> </w:t>
      </w:r>
      <w:r w:rsidR="000D6AE7">
        <w:t>MO_</w:t>
      </w:r>
      <w:r w:rsidR="003916F8">
        <w:t xml:space="preserve">Cascade </w:t>
      </w:r>
      <w:r>
        <w:t>and Hardy Creek) exceeded the recommended value for inorganic nitrogen concentrations</w:t>
      </w:r>
      <w:r w:rsidR="00B32517">
        <w:t xml:space="preserve"> and</w:t>
      </w:r>
      <w:r>
        <w:t xml:space="preserve"> the </w:t>
      </w:r>
      <w:r w:rsidR="00270D6C">
        <w:t>M</w:t>
      </w:r>
      <w:r w:rsidR="00F85D89">
        <w:t xml:space="preserve">DEQ </w:t>
      </w:r>
      <w:r>
        <w:t>numeric nutrient standard</w:t>
      </w:r>
      <w:r w:rsidR="00C40690">
        <w:t>s</w:t>
      </w:r>
      <w:r>
        <w:t xml:space="preserve"> for </w:t>
      </w:r>
      <w:r w:rsidR="000D6AE7">
        <w:t>TN</w:t>
      </w:r>
      <w:r>
        <w:t xml:space="preserve">, and (with </w:t>
      </w:r>
      <w:r w:rsidR="003844EB">
        <w:t>MO Cascade</w:t>
      </w:r>
      <w:r>
        <w:t xml:space="preserve">) </w:t>
      </w:r>
      <w:r w:rsidR="005D6575">
        <w:t>f</w:t>
      </w:r>
      <w:r>
        <w:t xml:space="preserve">or </w:t>
      </w:r>
      <w:r w:rsidR="000D6AE7">
        <w:t>TP</w:t>
      </w:r>
      <w:r>
        <w:t xml:space="preserve">. </w:t>
      </w:r>
      <w:r w:rsidR="005D6575">
        <w:t xml:space="preserve"> </w:t>
      </w:r>
    </w:p>
    <w:p w14:paraId="0BE3E4DF" w14:textId="77777777" w:rsidR="00CE13AC" w:rsidRDefault="00CE13AC" w:rsidP="00100480">
      <w:pPr>
        <w:jc w:val="both"/>
      </w:pPr>
    </w:p>
    <w:p w14:paraId="39F75D26" w14:textId="3EEF431A" w:rsidR="00270D6C" w:rsidRDefault="00013C0A" w:rsidP="00270D6C">
      <w:pPr>
        <w:jc w:val="both"/>
      </w:pPr>
      <w:r>
        <w:t>Likewise</w:t>
      </w:r>
      <w:r w:rsidR="00C54B0D">
        <w:t>,</w:t>
      </w:r>
      <w:r w:rsidR="00100480">
        <w:t xml:space="preserve"> </w:t>
      </w:r>
      <w:r w:rsidR="00CE13AC">
        <w:t xml:space="preserve">during the fall </w:t>
      </w:r>
      <w:r>
        <w:t xml:space="preserve">sampling </w:t>
      </w:r>
      <w:r w:rsidR="00CE13AC">
        <w:t>period</w:t>
      </w:r>
      <w:r w:rsidR="008908BB">
        <w:t xml:space="preserve"> of 2017</w:t>
      </w:r>
      <w:r w:rsidR="00CE13AC">
        <w:t xml:space="preserve">, nutrient levels within </w:t>
      </w:r>
      <w:r w:rsidR="008908BB">
        <w:t>the Missouri River exceeded</w:t>
      </w:r>
      <w:r w:rsidR="00CE13AC">
        <w:t xml:space="preserve"> </w:t>
      </w:r>
      <w:r w:rsidR="008908BB">
        <w:t xml:space="preserve">the </w:t>
      </w:r>
      <w:r w:rsidR="00A42148">
        <w:t>recommended</w:t>
      </w:r>
      <w:r w:rsidR="00CE13AC">
        <w:t xml:space="preserve"> levels</w:t>
      </w:r>
      <w:r w:rsidR="008908BB">
        <w:t xml:space="preserve"> set by MDEQ</w:t>
      </w:r>
      <w:r w:rsidR="00CE13AC">
        <w:t>.</w:t>
      </w:r>
      <w:r w:rsidR="00A42148">
        <w:t xml:space="preserve"> </w:t>
      </w:r>
      <w:r w:rsidR="00270D6C">
        <w:t xml:space="preserve"> </w:t>
      </w:r>
      <w:r w:rsidR="00BC793C">
        <w:t xml:space="preserve">This </w:t>
      </w:r>
      <w:r>
        <w:t>season wa</w:t>
      </w:r>
      <w:r w:rsidR="00BC793C">
        <w:t xml:space="preserve">s </w:t>
      </w:r>
      <w:r>
        <w:t>really</w:t>
      </w:r>
      <w:r w:rsidR="00270D6C">
        <w:t xml:space="preserve"> at</w:t>
      </w:r>
      <w:r>
        <w:t xml:space="preserve"> the forefront of the increasing trends in nutrient concentrations </w:t>
      </w:r>
      <w:r w:rsidR="00270D6C">
        <w:t>during</w:t>
      </w:r>
      <w:r>
        <w:t xml:space="preserve"> the last 3 sampling periods</w:t>
      </w:r>
      <w:r w:rsidR="00BC793C">
        <w:t xml:space="preserve">. </w:t>
      </w:r>
      <w:r w:rsidR="008908BB">
        <w:t xml:space="preserve">It is possible that high nutrient levels </w:t>
      </w:r>
      <w:r w:rsidR="00BC793C">
        <w:t>are</w:t>
      </w:r>
      <w:r w:rsidR="008908BB">
        <w:t xml:space="preserve"> the biggest threat </w:t>
      </w:r>
      <w:r w:rsidR="00BC793C">
        <w:t>that the Upper Missouri River is facing at present</w:t>
      </w:r>
      <w:r w:rsidR="008908BB">
        <w:t xml:space="preserve">. </w:t>
      </w:r>
      <w:r w:rsidR="00270D6C">
        <w:t>In contrast, no sites sampled in 2016</w:t>
      </w:r>
      <w:r w:rsidR="00C40690">
        <w:t xml:space="preserve"> and </w:t>
      </w:r>
      <w:r w:rsidR="00270D6C">
        <w:t>during any season exceeded the numeric nutrient standards or screening values set by MDEQ (UMOWA 2017).</w:t>
      </w:r>
      <w:r w:rsidR="00270D6C" w:rsidRPr="00270D6C">
        <w:t xml:space="preserve"> </w:t>
      </w:r>
      <w:r w:rsidR="00270D6C">
        <w:t xml:space="preserve">  It is critical that UMOWA continue to monitor </w:t>
      </w:r>
      <w:r w:rsidR="00CD5E95">
        <w:t xml:space="preserve">Missouri River </w:t>
      </w:r>
      <w:r w:rsidR="00270D6C">
        <w:t>water quality in</w:t>
      </w:r>
      <w:r w:rsidR="00CD5E95">
        <w:t>to</w:t>
      </w:r>
      <w:r w:rsidR="00270D6C">
        <w:t xml:space="preserve"> 20</w:t>
      </w:r>
      <w:r w:rsidR="00CD5E95">
        <w:t>20</w:t>
      </w:r>
      <w:r w:rsidR="00270D6C">
        <w:t xml:space="preserve"> to see if </w:t>
      </w:r>
      <w:r w:rsidR="00CD5E95">
        <w:t xml:space="preserve">these </w:t>
      </w:r>
      <w:r w:rsidR="00270D6C">
        <w:t xml:space="preserve">nutrient concentrations </w:t>
      </w:r>
      <w:r w:rsidR="00CD5E95">
        <w:t>continue trending upward at these impairment</w:t>
      </w:r>
      <w:r w:rsidR="00270D6C">
        <w:t xml:space="preserve"> levels.   </w:t>
      </w:r>
    </w:p>
    <w:p w14:paraId="40CFE946" w14:textId="61BD50F8" w:rsidR="00CE13AC" w:rsidRDefault="00CE13AC" w:rsidP="00100480">
      <w:pPr>
        <w:jc w:val="both"/>
      </w:pPr>
    </w:p>
    <w:p w14:paraId="7F68B54E" w14:textId="77777777" w:rsidR="008908BB" w:rsidRDefault="008908BB" w:rsidP="00100480">
      <w:pPr>
        <w:jc w:val="both"/>
      </w:pPr>
    </w:p>
    <w:p w14:paraId="35B99F3F" w14:textId="77777777" w:rsidR="008908BB" w:rsidRDefault="008908BB" w:rsidP="00100480">
      <w:pPr>
        <w:jc w:val="both"/>
      </w:pPr>
    </w:p>
    <w:p w14:paraId="6E5E18E3" w14:textId="34F50E29" w:rsidR="0047552B" w:rsidRPr="00E920CB" w:rsidRDefault="00F779A3" w:rsidP="00743778">
      <w:pPr>
        <w:pStyle w:val="Heading1"/>
      </w:pPr>
      <w:bookmarkStart w:id="1" w:name="_Toc380156852"/>
      <w:r w:rsidRPr="00E920CB">
        <w:lastRenderedPageBreak/>
        <w:t xml:space="preserve">1.0 </w:t>
      </w:r>
      <w:r w:rsidR="008C6494" w:rsidRPr="00E920CB">
        <w:t>Introduction</w:t>
      </w:r>
      <w:bookmarkEnd w:id="1"/>
    </w:p>
    <w:p w14:paraId="2AEDACEF" w14:textId="77777777" w:rsidR="0047552B" w:rsidRDefault="0047552B" w:rsidP="0047552B"/>
    <w:p w14:paraId="538AE104" w14:textId="397C6467" w:rsidR="00092F24" w:rsidRDefault="00092F24" w:rsidP="00435746">
      <w:pPr>
        <w:jc w:val="both"/>
      </w:pPr>
      <w:r>
        <w:t>The 2.8</w:t>
      </w:r>
      <w:r w:rsidR="00D5356E">
        <w:t xml:space="preserve"> mile reach of the Missouri River from </w:t>
      </w:r>
      <w:r>
        <w:t xml:space="preserve">Holter Dam to Little </w:t>
      </w:r>
      <w:r w:rsidR="00214640">
        <w:t xml:space="preserve">Prickly </w:t>
      </w:r>
      <w:r>
        <w:t>Pear Creek is listed as impaired</w:t>
      </w:r>
      <w:r w:rsidR="00F85D89" w:rsidRPr="00F85D89">
        <w:t xml:space="preserve"> </w:t>
      </w:r>
      <w:r w:rsidR="00F85D89">
        <w:t>for aquatic life</w:t>
      </w:r>
      <w:r>
        <w:t xml:space="preserve"> </w:t>
      </w:r>
      <w:r w:rsidR="00C514A6">
        <w:t xml:space="preserve">by </w:t>
      </w:r>
      <w:r w:rsidR="008908BB">
        <w:t>Montana Department of Environmental Qu</w:t>
      </w:r>
      <w:r w:rsidR="00214640">
        <w:t>ality</w:t>
      </w:r>
      <w:r w:rsidR="00C514A6">
        <w:t xml:space="preserve"> </w:t>
      </w:r>
      <w:r>
        <w:t xml:space="preserve">due to </w:t>
      </w:r>
      <w:r w:rsidR="005D6575">
        <w:t xml:space="preserve">sedimentation/siltation, </w:t>
      </w:r>
      <w:r>
        <w:t>increased total nitrogen</w:t>
      </w:r>
      <w:r w:rsidR="005D6575" w:rsidRPr="005D6575">
        <w:t xml:space="preserve"> </w:t>
      </w:r>
      <w:r w:rsidR="005D6575">
        <w:t>and phosphorus</w:t>
      </w:r>
      <w:r>
        <w:t xml:space="preserve"> concentrations </w:t>
      </w:r>
      <w:r w:rsidR="00F85D89">
        <w:t>(likely caused by</w:t>
      </w:r>
      <w:r>
        <w:t xml:space="preserve"> grazing in riparian zones</w:t>
      </w:r>
      <w:r w:rsidR="005D6575">
        <w:t>, municipal point source discharges and caused by on-site treatment systems (septic systems) and</w:t>
      </w:r>
      <w:r>
        <w:t xml:space="preserve"> flow regime alterations </w:t>
      </w:r>
      <w:r w:rsidR="005D6575">
        <w:t>from upstream impoundments</w:t>
      </w:r>
      <w:r w:rsidR="00112D4F">
        <w:t xml:space="preserve"> </w:t>
      </w:r>
      <w:r>
        <w:t>(</w:t>
      </w:r>
      <w:r w:rsidR="009F5EDF">
        <w:t>M</w:t>
      </w:r>
      <w:r>
        <w:t xml:space="preserve">DEQ 2016). </w:t>
      </w:r>
      <w:r w:rsidR="00F85D89">
        <w:t xml:space="preserve"> </w:t>
      </w:r>
      <w:r w:rsidR="00112D4F">
        <w:t xml:space="preserve">The 20.93 mile reach of the Missouri River from Little Prickly Pear Creek to Sheep Creek is listed as impaired for aquatic life due to increased arsenic concentrations, increased total nitrogen concentrations </w:t>
      </w:r>
      <w:r w:rsidR="00F85D89">
        <w:t xml:space="preserve">due to grazing in riparian zones, </w:t>
      </w:r>
      <w:r w:rsidR="00112D4F">
        <w:t>impacts from hydrostructure flow regulation/modification, and sedimentation/siltation caused by irrigated crop production and natural sources (</w:t>
      </w:r>
      <w:r w:rsidR="009F5EDF">
        <w:t>M</w:t>
      </w:r>
      <w:r w:rsidR="00112D4F">
        <w:t xml:space="preserve">DEQ 2016). </w:t>
      </w:r>
    </w:p>
    <w:p w14:paraId="5CF67E6B" w14:textId="77777777" w:rsidR="00A9612A" w:rsidRDefault="00A9612A" w:rsidP="00435746">
      <w:pPr>
        <w:jc w:val="both"/>
      </w:pPr>
    </w:p>
    <w:p w14:paraId="4CE433A5" w14:textId="2370F5BC" w:rsidR="009F5EDF" w:rsidRDefault="00A9612A" w:rsidP="00435746">
      <w:pPr>
        <w:jc w:val="both"/>
      </w:pPr>
      <w:r>
        <w:t xml:space="preserve">In 2016, the Aquatic Resources Committee of </w:t>
      </w:r>
      <w:r w:rsidR="009F5EDF">
        <w:t xml:space="preserve">the </w:t>
      </w:r>
      <w:r w:rsidR="009B294D">
        <w:t>U</w:t>
      </w:r>
      <w:r>
        <w:t xml:space="preserve">pper Missouri Watershed Alliance (UMOWA) determined to </w:t>
      </w:r>
      <w:r w:rsidR="00F779A3">
        <w:t>fund the collection of</w:t>
      </w:r>
      <w:r>
        <w:t xml:space="preserve"> water quality </w:t>
      </w:r>
      <w:r w:rsidR="009F5EDF">
        <w:t>data</w:t>
      </w:r>
      <w:r>
        <w:t xml:space="preserve"> on a periodic and consistent bas</w:t>
      </w:r>
      <w:r w:rsidR="009F5EDF">
        <w:t>is to monitor the hea</w:t>
      </w:r>
      <w:r w:rsidR="00214640">
        <w:t>l</w:t>
      </w:r>
      <w:r w:rsidR="009F5EDF">
        <w:t>th of the Upper Missouri River</w:t>
      </w:r>
      <w:r w:rsidR="00C514A6">
        <w:t xml:space="preserve"> between Holter Dam and Cascade</w:t>
      </w:r>
      <w:r w:rsidR="009F5EDF">
        <w:t xml:space="preserve">. </w:t>
      </w:r>
      <w:r w:rsidR="00435746">
        <w:t xml:space="preserve"> </w:t>
      </w:r>
      <w:r w:rsidR="009F5EDF">
        <w:t>S</w:t>
      </w:r>
      <w:r w:rsidR="00214640">
        <w:t>amples were</w:t>
      </w:r>
      <w:r>
        <w:t xml:space="preserve"> collected concurrently with macroinvertebrate samples being collected by </w:t>
      </w:r>
      <w:r w:rsidR="00CD1A29">
        <w:t>Montana Biological Survey</w:t>
      </w:r>
      <w:r>
        <w:t xml:space="preserve"> (</w:t>
      </w:r>
      <w:r w:rsidR="00F779A3">
        <w:t>Stagliano 2015</w:t>
      </w:r>
      <w:r>
        <w:t>) to determine if any correlation</w:t>
      </w:r>
      <w:r w:rsidR="001B035E">
        <w:t xml:space="preserve">s can be drawn </w:t>
      </w:r>
      <w:r>
        <w:t>between water chemistry and aquatic insect communi</w:t>
      </w:r>
      <w:r w:rsidR="001B035E">
        <w:t>ties</w:t>
      </w:r>
      <w:r>
        <w:t>.</w:t>
      </w:r>
      <w:r w:rsidR="00F779A3">
        <w:t xml:space="preserve"> </w:t>
      </w:r>
      <w:r w:rsidR="00C7580D">
        <w:t xml:space="preserve"> </w:t>
      </w:r>
      <w:r w:rsidR="00F779A3">
        <w:t xml:space="preserve">The overall goals of the project were to 1) establish baseline water quality </w:t>
      </w:r>
      <w:r w:rsidR="00A37F03">
        <w:t xml:space="preserve">data </w:t>
      </w:r>
      <w:r w:rsidR="00F779A3">
        <w:t>as it may affect benthic macroin</w:t>
      </w:r>
      <w:r w:rsidR="00A37F03">
        <w:t>ver</w:t>
      </w:r>
      <w:r w:rsidR="00F779A3">
        <w:t>tebrate and plant communities, and 2) collect baseline information about total suspended/dissolved solids and nutrient</w:t>
      </w:r>
      <w:r w:rsidR="001B035E">
        <w:t>s</w:t>
      </w:r>
      <w:r w:rsidR="00F779A3">
        <w:t xml:space="preserve"> to allow for spatial and temporal comparisons of water quality. </w:t>
      </w:r>
      <w:r w:rsidR="001B035E">
        <w:t xml:space="preserve">  </w:t>
      </w:r>
      <w:r w:rsidR="001B035E" w:rsidRPr="001B035E">
        <w:t xml:space="preserve">To get an idea of </w:t>
      </w:r>
      <w:r w:rsidR="001B035E">
        <w:t xml:space="preserve">river assessment </w:t>
      </w:r>
      <w:r w:rsidR="001B035E" w:rsidRPr="001B035E">
        <w:t xml:space="preserve">conditions, </w:t>
      </w:r>
      <w:r w:rsidR="001B035E">
        <w:t xml:space="preserve">WQ </w:t>
      </w:r>
      <w:r w:rsidR="001B035E" w:rsidRPr="001B035E">
        <w:t xml:space="preserve">data will be compared against nutrient standards for wadable streams in the </w:t>
      </w:r>
      <w:r w:rsidR="001B035E">
        <w:t xml:space="preserve">same </w:t>
      </w:r>
      <w:r w:rsidR="001B035E" w:rsidRPr="001B035E">
        <w:t xml:space="preserve">ecoregion.  </w:t>
      </w:r>
      <w:r w:rsidR="001B035E">
        <w:t xml:space="preserve"> </w:t>
      </w:r>
      <w:r w:rsidR="00C514A6">
        <w:t>In 2017, analysis of metal concentrations was eliminated from the project goals. The 201</w:t>
      </w:r>
      <w:r w:rsidR="00F37F94">
        <w:t>8-2019</w:t>
      </w:r>
      <w:r w:rsidR="00C514A6">
        <w:t xml:space="preserve"> </w:t>
      </w:r>
      <w:r w:rsidR="00F37F94">
        <w:t xml:space="preserve">sampling </w:t>
      </w:r>
      <w:r w:rsidR="00C514A6">
        <w:t>study focused on nutrient concentrations as well as total suspended/dissolved solids concentrations.</w:t>
      </w:r>
    </w:p>
    <w:p w14:paraId="7C213A29" w14:textId="77777777" w:rsidR="00BC793C" w:rsidRDefault="00BC793C" w:rsidP="00435746">
      <w:pPr>
        <w:pStyle w:val="Heading1"/>
        <w:jc w:val="both"/>
      </w:pPr>
    </w:p>
    <w:p w14:paraId="291C79C3" w14:textId="77777777" w:rsidR="00BC793C" w:rsidRPr="00BC793C" w:rsidRDefault="00BC793C" w:rsidP="00435746">
      <w:pPr>
        <w:jc w:val="both"/>
      </w:pPr>
    </w:p>
    <w:p w14:paraId="21C139DF" w14:textId="77777777" w:rsidR="00BC793C" w:rsidRDefault="00BC793C" w:rsidP="00435746">
      <w:pPr>
        <w:pStyle w:val="Heading1"/>
        <w:jc w:val="both"/>
      </w:pPr>
    </w:p>
    <w:p w14:paraId="0CD5E6F9" w14:textId="77777777" w:rsidR="00BC793C" w:rsidRDefault="00BC793C" w:rsidP="00435746">
      <w:pPr>
        <w:pStyle w:val="Heading1"/>
        <w:jc w:val="both"/>
      </w:pPr>
    </w:p>
    <w:p w14:paraId="01A16E98" w14:textId="77777777" w:rsidR="00BC793C" w:rsidRDefault="00BC793C" w:rsidP="00435746">
      <w:pPr>
        <w:pStyle w:val="Heading1"/>
        <w:jc w:val="both"/>
      </w:pPr>
    </w:p>
    <w:p w14:paraId="598FC804" w14:textId="77777777" w:rsidR="008C6494" w:rsidRDefault="008C6494" w:rsidP="00435746">
      <w:pPr>
        <w:jc w:val="both"/>
      </w:pPr>
    </w:p>
    <w:p w14:paraId="2747A3B9" w14:textId="77777777" w:rsidR="00BC793C" w:rsidRDefault="00BC793C" w:rsidP="00435746">
      <w:pPr>
        <w:jc w:val="both"/>
      </w:pPr>
    </w:p>
    <w:p w14:paraId="0260C7F4" w14:textId="77777777" w:rsidR="00BC793C" w:rsidRDefault="00BC793C" w:rsidP="00435746">
      <w:pPr>
        <w:jc w:val="both"/>
      </w:pPr>
    </w:p>
    <w:p w14:paraId="55E383A7" w14:textId="77777777" w:rsidR="00BC793C" w:rsidRDefault="00BC793C" w:rsidP="00435746">
      <w:pPr>
        <w:jc w:val="both"/>
      </w:pPr>
    </w:p>
    <w:p w14:paraId="143E775D" w14:textId="77777777" w:rsidR="00BC793C" w:rsidRDefault="00BC793C" w:rsidP="00435746">
      <w:pPr>
        <w:jc w:val="both"/>
      </w:pPr>
    </w:p>
    <w:p w14:paraId="33FF0076" w14:textId="77777777" w:rsidR="00BC793C" w:rsidRPr="009F5EDF" w:rsidRDefault="00BC793C" w:rsidP="00435746">
      <w:pPr>
        <w:pStyle w:val="Heading1"/>
        <w:jc w:val="both"/>
      </w:pPr>
      <w:bookmarkStart w:id="2" w:name="_Toc380156853"/>
      <w:r w:rsidRPr="00E920CB">
        <w:lastRenderedPageBreak/>
        <w:t>2.0 Methods</w:t>
      </w:r>
      <w:bookmarkEnd w:id="2"/>
    </w:p>
    <w:p w14:paraId="58C17D2B" w14:textId="77777777" w:rsidR="00BC793C" w:rsidRPr="00A718AF" w:rsidRDefault="00BC793C" w:rsidP="00435746">
      <w:pPr>
        <w:pStyle w:val="Heading2"/>
        <w:jc w:val="both"/>
        <w:rPr>
          <w:color w:val="1F497D" w:themeColor="text2"/>
        </w:rPr>
      </w:pPr>
      <w:bookmarkStart w:id="3" w:name="_Toc380156854"/>
      <w:r w:rsidRPr="00A718AF">
        <w:rPr>
          <w:color w:val="1F497D" w:themeColor="text2"/>
        </w:rPr>
        <w:t>2.1 Sample Site Selection</w:t>
      </w:r>
      <w:bookmarkEnd w:id="3"/>
    </w:p>
    <w:p w14:paraId="3B75DF29" w14:textId="77777777" w:rsidR="00BC793C" w:rsidRDefault="00BC793C" w:rsidP="00435746">
      <w:pPr>
        <w:jc w:val="both"/>
      </w:pPr>
    </w:p>
    <w:p w14:paraId="7BF92854" w14:textId="36BB19F1" w:rsidR="008C6494" w:rsidRDefault="008C6494" w:rsidP="00435746">
      <w:pPr>
        <w:jc w:val="both"/>
      </w:pPr>
      <w:r>
        <w:t xml:space="preserve">Water quality samples were collected from seven sites between </w:t>
      </w:r>
      <w:r w:rsidR="005704AB">
        <w:t>Wolf Creek</w:t>
      </w:r>
      <w:r>
        <w:t xml:space="preserve"> and </w:t>
      </w:r>
      <w:r w:rsidR="00F37F94">
        <w:t xml:space="preserve">downstream from </w:t>
      </w:r>
      <w:r w:rsidR="00A54177">
        <w:t xml:space="preserve">the town of </w:t>
      </w:r>
      <w:r>
        <w:t>Cascade</w:t>
      </w:r>
      <w:r w:rsidR="00F85D89">
        <w:t xml:space="preserve"> (</w:t>
      </w:r>
      <w:r w:rsidR="00F85D89" w:rsidRPr="00F85D89">
        <w:rPr>
          <w:b/>
          <w:bCs/>
        </w:rPr>
        <w:t>Table 1</w:t>
      </w:r>
      <w:r w:rsidR="00F85D89">
        <w:t>)</w:t>
      </w:r>
      <w:r>
        <w:t xml:space="preserve">. </w:t>
      </w:r>
      <w:r w:rsidR="00B32517">
        <w:t xml:space="preserve"> </w:t>
      </w:r>
      <w:r w:rsidR="00A54177">
        <w:t>The</w:t>
      </w:r>
      <w:r w:rsidR="00F85D89">
        <w:t>se</w:t>
      </w:r>
      <w:r w:rsidR="00B767C5">
        <w:t xml:space="preserve"> sites </w:t>
      </w:r>
      <w:r w:rsidR="00A54177">
        <w:t>coincide</w:t>
      </w:r>
      <w:r w:rsidR="00B767C5">
        <w:t xml:space="preserve"> with</w:t>
      </w:r>
      <w:r w:rsidR="00F85D89">
        <w:t xml:space="preserve"> monitoring</w:t>
      </w:r>
      <w:r w:rsidR="006610A6">
        <w:t xml:space="preserve"> sites that have been sampled</w:t>
      </w:r>
      <w:r w:rsidR="005704AB">
        <w:t xml:space="preserve"> </w:t>
      </w:r>
      <w:r w:rsidR="006610A6">
        <w:t xml:space="preserve">for macroinvertebrates </w:t>
      </w:r>
      <w:r w:rsidR="005704AB">
        <w:t xml:space="preserve">by </w:t>
      </w:r>
      <w:r w:rsidR="00CD1A29">
        <w:t>Montana Biological Survey</w:t>
      </w:r>
      <w:r w:rsidR="006610A6">
        <w:t xml:space="preserve"> </w:t>
      </w:r>
      <w:r w:rsidR="00F85D89">
        <w:t>s</w:t>
      </w:r>
      <w:r w:rsidR="006610A6">
        <w:t>ince 2015</w:t>
      </w:r>
      <w:r w:rsidR="00A54177">
        <w:t>. The</w:t>
      </w:r>
      <w:r w:rsidR="00B767C5">
        <w:t xml:space="preserve"> sites were chosen to be spatially representative of the</w:t>
      </w:r>
      <w:r w:rsidR="00A718AF">
        <w:t xml:space="preserve"> </w:t>
      </w:r>
      <w:r w:rsidR="00B767C5">
        <w:t>upper Missouri River</w:t>
      </w:r>
      <w:r w:rsidR="00350CC1">
        <w:t xml:space="preserve"> and integrate</w:t>
      </w:r>
      <w:r w:rsidR="00B767C5">
        <w:t xml:space="preserve"> the influence of the three major tributaries (Little Prickly Pear Creek, Dearborn River and Sheep Creek) upon water quality.</w:t>
      </w:r>
    </w:p>
    <w:p w14:paraId="208D076B" w14:textId="65200638" w:rsidR="00B767C5" w:rsidRDefault="00EF79AE" w:rsidP="0047552B">
      <w:r>
        <w:rPr>
          <w:noProof/>
        </w:rPr>
        <w:drawing>
          <wp:anchor distT="0" distB="0" distL="114300" distR="114300" simplePos="0" relativeHeight="251656191" behindDoc="0" locked="0" layoutInCell="1" allowOverlap="1" wp14:anchorId="72C8D1A1" wp14:editId="66246A1F">
            <wp:simplePos x="0" y="0"/>
            <wp:positionH relativeFrom="margin">
              <wp:align>center</wp:align>
            </wp:positionH>
            <wp:positionV relativeFrom="margin">
              <wp:posOffset>4555490</wp:posOffset>
            </wp:positionV>
            <wp:extent cx="5295900" cy="3530600"/>
            <wp:effectExtent l="0" t="0" r="0" b="0"/>
            <wp:wrapSquare wrapText="bothSides"/>
            <wp:docPr id="3" name="Picture 3" descr="Macintosh HD:Users:Braden:Desktop:UMOWA map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Braden:Desktop:UMOWA map (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95900" cy="3530600"/>
                    </a:xfrm>
                    <a:prstGeom prst="rect">
                      <a:avLst/>
                    </a:prstGeom>
                    <a:noFill/>
                    <a:ln>
                      <a:noFill/>
                    </a:ln>
                  </pic:spPr>
                </pic:pic>
              </a:graphicData>
            </a:graphic>
          </wp:anchor>
        </w:drawing>
      </w:r>
    </w:p>
    <w:tbl>
      <w:tblPr>
        <w:tblW w:w="8252" w:type="dxa"/>
        <w:jc w:val="center"/>
        <w:tblLayout w:type="fixed"/>
        <w:tblLook w:val="04A0" w:firstRow="1" w:lastRow="0" w:firstColumn="1" w:lastColumn="0" w:noHBand="0" w:noVBand="1"/>
      </w:tblPr>
      <w:tblGrid>
        <w:gridCol w:w="1615"/>
        <w:gridCol w:w="3892"/>
        <w:gridCol w:w="1238"/>
        <w:gridCol w:w="1507"/>
      </w:tblGrid>
      <w:tr w:rsidR="005704AB" w:rsidRPr="001B0702" w14:paraId="7134E392" w14:textId="77777777" w:rsidTr="00F85D89">
        <w:trPr>
          <w:trHeight w:val="420"/>
          <w:jc w:val="center"/>
        </w:trPr>
        <w:tc>
          <w:tcPr>
            <w:tcW w:w="16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27C494" w14:textId="77777777" w:rsidR="005704AB" w:rsidRPr="001B0702" w:rsidRDefault="005704AB" w:rsidP="005704AB">
            <w:pPr>
              <w:jc w:val="center"/>
              <w:rPr>
                <w:rFonts w:cs="Arial"/>
                <w:b/>
                <w:bCs/>
              </w:rPr>
            </w:pPr>
            <w:r w:rsidRPr="001B0702">
              <w:rPr>
                <w:rFonts w:cs="Arial"/>
                <w:b/>
                <w:bCs/>
              </w:rPr>
              <w:t>Station ID</w:t>
            </w:r>
          </w:p>
        </w:tc>
        <w:tc>
          <w:tcPr>
            <w:tcW w:w="3892" w:type="dxa"/>
            <w:tcBorders>
              <w:top w:val="single" w:sz="4" w:space="0" w:color="auto"/>
              <w:left w:val="nil"/>
              <w:bottom w:val="single" w:sz="4" w:space="0" w:color="auto"/>
              <w:right w:val="single" w:sz="4" w:space="0" w:color="auto"/>
            </w:tcBorders>
            <w:shd w:val="clear" w:color="auto" w:fill="auto"/>
            <w:noWrap/>
            <w:vAlign w:val="center"/>
            <w:hideMark/>
          </w:tcPr>
          <w:p w14:paraId="4724F75C" w14:textId="77777777" w:rsidR="005704AB" w:rsidRPr="001B0702" w:rsidRDefault="005704AB" w:rsidP="005704AB">
            <w:pPr>
              <w:rPr>
                <w:rFonts w:cs="Arial"/>
                <w:b/>
                <w:bCs/>
              </w:rPr>
            </w:pPr>
            <w:r w:rsidRPr="001B0702">
              <w:rPr>
                <w:rFonts w:cs="Arial"/>
                <w:b/>
                <w:bCs/>
              </w:rPr>
              <w:t>Site Name</w:t>
            </w:r>
          </w:p>
        </w:tc>
        <w:tc>
          <w:tcPr>
            <w:tcW w:w="1238" w:type="dxa"/>
            <w:tcBorders>
              <w:top w:val="single" w:sz="4" w:space="0" w:color="auto"/>
              <w:left w:val="nil"/>
              <w:bottom w:val="single" w:sz="4" w:space="0" w:color="auto"/>
              <w:right w:val="single" w:sz="4" w:space="0" w:color="auto"/>
            </w:tcBorders>
            <w:shd w:val="clear" w:color="auto" w:fill="auto"/>
            <w:noWrap/>
            <w:vAlign w:val="center"/>
            <w:hideMark/>
          </w:tcPr>
          <w:p w14:paraId="70325D82" w14:textId="77777777" w:rsidR="005704AB" w:rsidRPr="001B0702" w:rsidRDefault="005704AB" w:rsidP="005704AB">
            <w:pPr>
              <w:jc w:val="center"/>
              <w:rPr>
                <w:rFonts w:cs="Arial"/>
                <w:b/>
                <w:bCs/>
              </w:rPr>
            </w:pPr>
            <w:r w:rsidRPr="001B0702">
              <w:rPr>
                <w:rFonts w:cs="Arial"/>
                <w:b/>
                <w:bCs/>
              </w:rPr>
              <w:t>Latitude</w:t>
            </w:r>
          </w:p>
        </w:tc>
        <w:tc>
          <w:tcPr>
            <w:tcW w:w="1507" w:type="dxa"/>
            <w:tcBorders>
              <w:top w:val="single" w:sz="4" w:space="0" w:color="auto"/>
              <w:left w:val="nil"/>
              <w:bottom w:val="single" w:sz="4" w:space="0" w:color="auto"/>
              <w:right w:val="single" w:sz="4" w:space="0" w:color="auto"/>
            </w:tcBorders>
            <w:shd w:val="clear" w:color="auto" w:fill="auto"/>
            <w:noWrap/>
            <w:vAlign w:val="center"/>
            <w:hideMark/>
          </w:tcPr>
          <w:p w14:paraId="573A434E" w14:textId="77777777" w:rsidR="005704AB" w:rsidRPr="001B0702" w:rsidRDefault="005704AB" w:rsidP="005704AB">
            <w:pPr>
              <w:jc w:val="center"/>
              <w:rPr>
                <w:rFonts w:cs="Arial"/>
                <w:b/>
                <w:bCs/>
              </w:rPr>
            </w:pPr>
            <w:r w:rsidRPr="001B0702">
              <w:rPr>
                <w:rFonts w:cs="Arial"/>
                <w:b/>
                <w:bCs/>
              </w:rPr>
              <w:t>Longitude</w:t>
            </w:r>
          </w:p>
        </w:tc>
      </w:tr>
      <w:tr w:rsidR="005704AB" w:rsidRPr="007D77DF" w14:paraId="55BBFD0C" w14:textId="77777777" w:rsidTr="00F85D89">
        <w:trPr>
          <w:trHeight w:val="300"/>
          <w:jc w:val="center"/>
        </w:trPr>
        <w:tc>
          <w:tcPr>
            <w:tcW w:w="1615" w:type="dxa"/>
            <w:tcBorders>
              <w:top w:val="nil"/>
              <w:left w:val="single" w:sz="4" w:space="0" w:color="auto"/>
              <w:bottom w:val="nil"/>
              <w:right w:val="single" w:sz="4" w:space="0" w:color="auto"/>
            </w:tcBorders>
            <w:shd w:val="clear" w:color="auto" w:fill="auto"/>
            <w:noWrap/>
            <w:vAlign w:val="center"/>
            <w:hideMark/>
          </w:tcPr>
          <w:p w14:paraId="150B48E2" w14:textId="77777777" w:rsidR="005704AB" w:rsidRPr="007D77DF" w:rsidRDefault="005704AB" w:rsidP="005704AB">
            <w:pPr>
              <w:rPr>
                <w:rFonts w:cs="Arial"/>
                <w:b/>
                <w:sz w:val="22"/>
              </w:rPr>
            </w:pPr>
            <w:r w:rsidRPr="007D77DF">
              <w:rPr>
                <w:rFonts w:cs="Arial"/>
                <w:b/>
                <w:sz w:val="22"/>
              </w:rPr>
              <w:t>MO_LPPC_US</w:t>
            </w:r>
          </w:p>
        </w:tc>
        <w:tc>
          <w:tcPr>
            <w:tcW w:w="3892" w:type="dxa"/>
            <w:tcBorders>
              <w:top w:val="nil"/>
              <w:left w:val="nil"/>
              <w:bottom w:val="nil"/>
              <w:right w:val="single" w:sz="4" w:space="0" w:color="auto"/>
            </w:tcBorders>
            <w:shd w:val="clear" w:color="auto" w:fill="auto"/>
            <w:noWrap/>
            <w:vAlign w:val="center"/>
            <w:hideMark/>
          </w:tcPr>
          <w:p w14:paraId="79C78FB5" w14:textId="687C7F97" w:rsidR="005704AB" w:rsidRPr="007D77DF" w:rsidRDefault="00F85D89" w:rsidP="005704AB">
            <w:pPr>
              <w:rPr>
                <w:rFonts w:cs="Arial"/>
                <w:b/>
                <w:sz w:val="22"/>
              </w:rPr>
            </w:pPr>
            <w:r w:rsidRPr="007D77DF">
              <w:rPr>
                <w:rFonts w:cs="Arial"/>
                <w:b/>
                <w:sz w:val="22"/>
              </w:rPr>
              <w:t>Missouri River U/S Little Prickly Pear</w:t>
            </w:r>
          </w:p>
        </w:tc>
        <w:tc>
          <w:tcPr>
            <w:tcW w:w="1238" w:type="dxa"/>
            <w:tcBorders>
              <w:top w:val="nil"/>
              <w:left w:val="nil"/>
              <w:bottom w:val="nil"/>
              <w:right w:val="single" w:sz="4" w:space="0" w:color="auto"/>
            </w:tcBorders>
            <w:shd w:val="clear" w:color="auto" w:fill="auto"/>
            <w:noWrap/>
            <w:vAlign w:val="center"/>
            <w:hideMark/>
          </w:tcPr>
          <w:p w14:paraId="77E0FF2C" w14:textId="77777777" w:rsidR="005704AB" w:rsidRPr="007D77DF" w:rsidRDefault="005704AB" w:rsidP="00546170">
            <w:pPr>
              <w:jc w:val="center"/>
              <w:rPr>
                <w:rFonts w:cs="Arial"/>
                <w:b/>
                <w:sz w:val="22"/>
              </w:rPr>
            </w:pPr>
            <w:r w:rsidRPr="007D77DF">
              <w:rPr>
                <w:rFonts w:cs="Arial"/>
                <w:b/>
                <w:sz w:val="22"/>
              </w:rPr>
              <w:t>47.02281</w:t>
            </w:r>
          </w:p>
        </w:tc>
        <w:tc>
          <w:tcPr>
            <w:tcW w:w="1507" w:type="dxa"/>
            <w:tcBorders>
              <w:top w:val="nil"/>
              <w:left w:val="nil"/>
              <w:bottom w:val="nil"/>
              <w:right w:val="single" w:sz="4" w:space="0" w:color="auto"/>
            </w:tcBorders>
            <w:shd w:val="clear" w:color="auto" w:fill="auto"/>
            <w:noWrap/>
            <w:vAlign w:val="center"/>
            <w:hideMark/>
          </w:tcPr>
          <w:p w14:paraId="0DAA34E5" w14:textId="77777777" w:rsidR="005704AB" w:rsidRPr="007D77DF" w:rsidRDefault="005704AB" w:rsidP="00546170">
            <w:pPr>
              <w:jc w:val="center"/>
              <w:rPr>
                <w:rFonts w:cs="Arial"/>
                <w:b/>
                <w:sz w:val="22"/>
              </w:rPr>
            </w:pPr>
            <w:r w:rsidRPr="007D77DF">
              <w:rPr>
                <w:rFonts w:cs="Arial"/>
                <w:b/>
                <w:sz w:val="22"/>
              </w:rPr>
              <w:t>-112.01527</w:t>
            </w:r>
          </w:p>
        </w:tc>
      </w:tr>
      <w:tr w:rsidR="005704AB" w:rsidRPr="007D77DF" w14:paraId="231ADAF6" w14:textId="77777777" w:rsidTr="00F85D89">
        <w:trPr>
          <w:trHeight w:val="300"/>
          <w:jc w:val="center"/>
        </w:trPr>
        <w:tc>
          <w:tcPr>
            <w:tcW w:w="1615" w:type="dxa"/>
            <w:tcBorders>
              <w:top w:val="nil"/>
              <w:left w:val="single" w:sz="4" w:space="0" w:color="auto"/>
              <w:bottom w:val="nil"/>
              <w:right w:val="single" w:sz="4" w:space="0" w:color="auto"/>
            </w:tcBorders>
            <w:shd w:val="clear" w:color="auto" w:fill="auto"/>
            <w:noWrap/>
            <w:vAlign w:val="center"/>
            <w:hideMark/>
          </w:tcPr>
          <w:p w14:paraId="27E7969E" w14:textId="77777777" w:rsidR="005704AB" w:rsidRPr="007D77DF" w:rsidRDefault="005704AB" w:rsidP="005704AB">
            <w:pPr>
              <w:rPr>
                <w:rFonts w:cs="Arial"/>
                <w:b/>
                <w:sz w:val="22"/>
              </w:rPr>
            </w:pPr>
            <w:r w:rsidRPr="007D77DF">
              <w:rPr>
                <w:rFonts w:cs="Arial"/>
                <w:b/>
                <w:sz w:val="22"/>
              </w:rPr>
              <w:t>MO_LPPC_DS</w:t>
            </w:r>
          </w:p>
        </w:tc>
        <w:tc>
          <w:tcPr>
            <w:tcW w:w="3892" w:type="dxa"/>
            <w:tcBorders>
              <w:top w:val="nil"/>
              <w:left w:val="nil"/>
              <w:bottom w:val="nil"/>
              <w:right w:val="single" w:sz="4" w:space="0" w:color="auto"/>
            </w:tcBorders>
            <w:shd w:val="clear" w:color="auto" w:fill="auto"/>
            <w:noWrap/>
            <w:vAlign w:val="center"/>
            <w:hideMark/>
          </w:tcPr>
          <w:p w14:paraId="1AA49618" w14:textId="70338120" w:rsidR="005704AB" w:rsidRPr="007D77DF" w:rsidRDefault="00F85D89" w:rsidP="005704AB">
            <w:pPr>
              <w:rPr>
                <w:rFonts w:cs="Arial"/>
                <w:b/>
                <w:sz w:val="22"/>
              </w:rPr>
            </w:pPr>
            <w:r w:rsidRPr="007D77DF">
              <w:rPr>
                <w:rFonts w:cs="Arial"/>
                <w:b/>
                <w:sz w:val="22"/>
              </w:rPr>
              <w:t>Missouri River D/S Little Prickly Pear</w:t>
            </w:r>
          </w:p>
        </w:tc>
        <w:tc>
          <w:tcPr>
            <w:tcW w:w="1238" w:type="dxa"/>
            <w:tcBorders>
              <w:top w:val="nil"/>
              <w:left w:val="nil"/>
              <w:bottom w:val="nil"/>
              <w:right w:val="single" w:sz="4" w:space="0" w:color="auto"/>
            </w:tcBorders>
            <w:shd w:val="clear" w:color="auto" w:fill="auto"/>
            <w:noWrap/>
            <w:vAlign w:val="center"/>
            <w:hideMark/>
          </w:tcPr>
          <w:p w14:paraId="371EE3AC" w14:textId="77777777" w:rsidR="005704AB" w:rsidRPr="007D77DF" w:rsidRDefault="005704AB" w:rsidP="00546170">
            <w:pPr>
              <w:jc w:val="center"/>
              <w:rPr>
                <w:rFonts w:cs="Arial"/>
                <w:b/>
                <w:sz w:val="22"/>
              </w:rPr>
            </w:pPr>
            <w:r w:rsidRPr="007D77DF">
              <w:rPr>
                <w:rFonts w:cs="Arial"/>
                <w:b/>
                <w:sz w:val="22"/>
              </w:rPr>
              <w:t>47.02345</w:t>
            </w:r>
          </w:p>
        </w:tc>
        <w:tc>
          <w:tcPr>
            <w:tcW w:w="1507" w:type="dxa"/>
            <w:tcBorders>
              <w:top w:val="nil"/>
              <w:left w:val="nil"/>
              <w:bottom w:val="nil"/>
              <w:right w:val="single" w:sz="4" w:space="0" w:color="auto"/>
            </w:tcBorders>
            <w:shd w:val="clear" w:color="auto" w:fill="auto"/>
            <w:noWrap/>
            <w:vAlign w:val="center"/>
            <w:hideMark/>
          </w:tcPr>
          <w:p w14:paraId="371105DE" w14:textId="77777777" w:rsidR="005704AB" w:rsidRPr="007D77DF" w:rsidRDefault="005704AB" w:rsidP="00546170">
            <w:pPr>
              <w:jc w:val="center"/>
              <w:rPr>
                <w:rFonts w:cs="Arial"/>
                <w:b/>
                <w:sz w:val="22"/>
              </w:rPr>
            </w:pPr>
            <w:r w:rsidRPr="007D77DF">
              <w:rPr>
                <w:rFonts w:cs="Arial"/>
                <w:b/>
                <w:sz w:val="22"/>
              </w:rPr>
              <w:t>-112.01523</w:t>
            </w:r>
          </w:p>
        </w:tc>
      </w:tr>
      <w:tr w:rsidR="005704AB" w:rsidRPr="007D77DF" w14:paraId="47C55122" w14:textId="77777777" w:rsidTr="00F85D89">
        <w:trPr>
          <w:trHeight w:val="300"/>
          <w:jc w:val="center"/>
        </w:trPr>
        <w:tc>
          <w:tcPr>
            <w:tcW w:w="1615" w:type="dxa"/>
            <w:tcBorders>
              <w:top w:val="nil"/>
              <w:left w:val="single" w:sz="4" w:space="0" w:color="auto"/>
              <w:bottom w:val="nil"/>
              <w:right w:val="single" w:sz="4" w:space="0" w:color="auto"/>
            </w:tcBorders>
            <w:shd w:val="clear" w:color="auto" w:fill="auto"/>
            <w:noWrap/>
            <w:vAlign w:val="center"/>
            <w:hideMark/>
          </w:tcPr>
          <w:p w14:paraId="584EC384" w14:textId="77777777" w:rsidR="005704AB" w:rsidRPr="007D77DF" w:rsidRDefault="005704AB" w:rsidP="005704AB">
            <w:pPr>
              <w:rPr>
                <w:rFonts w:cs="Arial"/>
                <w:b/>
                <w:sz w:val="22"/>
              </w:rPr>
            </w:pPr>
            <w:r w:rsidRPr="007D77DF">
              <w:rPr>
                <w:rFonts w:cs="Arial"/>
                <w:b/>
                <w:sz w:val="22"/>
              </w:rPr>
              <w:t>MO_CRAIG</w:t>
            </w:r>
          </w:p>
        </w:tc>
        <w:tc>
          <w:tcPr>
            <w:tcW w:w="3892" w:type="dxa"/>
            <w:tcBorders>
              <w:top w:val="nil"/>
              <w:left w:val="nil"/>
              <w:bottom w:val="nil"/>
              <w:right w:val="single" w:sz="4" w:space="0" w:color="auto"/>
            </w:tcBorders>
            <w:shd w:val="clear" w:color="auto" w:fill="auto"/>
            <w:noWrap/>
            <w:vAlign w:val="center"/>
            <w:hideMark/>
          </w:tcPr>
          <w:p w14:paraId="4926B97C" w14:textId="717B69E2" w:rsidR="005704AB" w:rsidRPr="007D77DF" w:rsidRDefault="00F85D89" w:rsidP="005704AB">
            <w:pPr>
              <w:rPr>
                <w:rFonts w:cs="Arial"/>
                <w:b/>
                <w:sz w:val="22"/>
              </w:rPr>
            </w:pPr>
            <w:r w:rsidRPr="007D77DF">
              <w:rPr>
                <w:rFonts w:cs="Arial"/>
                <w:b/>
                <w:sz w:val="22"/>
              </w:rPr>
              <w:t>Missouri River U/S Craig</w:t>
            </w:r>
          </w:p>
        </w:tc>
        <w:tc>
          <w:tcPr>
            <w:tcW w:w="1238" w:type="dxa"/>
            <w:tcBorders>
              <w:top w:val="nil"/>
              <w:left w:val="nil"/>
              <w:bottom w:val="nil"/>
              <w:right w:val="single" w:sz="4" w:space="0" w:color="auto"/>
            </w:tcBorders>
            <w:shd w:val="clear" w:color="auto" w:fill="auto"/>
            <w:noWrap/>
            <w:vAlign w:val="center"/>
            <w:hideMark/>
          </w:tcPr>
          <w:p w14:paraId="6DA69BA4" w14:textId="77777777" w:rsidR="005704AB" w:rsidRPr="007D77DF" w:rsidRDefault="005704AB" w:rsidP="00546170">
            <w:pPr>
              <w:jc w:val="center"/>
              <w:rPr>
                <w:rFonts w:cs="Arial"/>
                <w:b/>
                <w:sz w:val="22"/>
              </w:rPr>
            </w:pPr>
            <w:r w:rsidRPr="007D77DF">
              <w:rPr>
                <w:rFonts w:cs="Arial"/>
                <w:b/>
                <w:sz w:val="22"/>
              </w:rPr>
              <w:t>47.05415</w:t>
            </w:r>
          </w:p>
        </w:tc>
        <w:tc>
          <w:tcPr>
            <w:tcW w:w="1507" w:type="dxa"/>
            <w:tcBorders>
              <w:top w:val="nil"/>
              <w:left w:val="nil"/>
              <w:bottom w:val="nil"/>
              <w:right w:val="single" w:sz="4" w:space="0" w:color="auto"/>
            </w:tcBorders>
            <w:shd w:val="clear" w:color="auto" w:fill="auto"/>
            <w:noWrap/>
            <w:vAlign w:val="center"/>
            <w:hideMark/>
          </w:tcPr>
          <w:p w14:paraId="2BADDB5D" w14:textId="77777777" w:rsidR="005704AB" w:rsidRPr="007D77DF" w:rsidRDefault="005704AB" w:rsidP="00546170">
            <w:pPr>
              <w:jc w:val="center"/>
              <w:rPr>
                <w:rFonts w:cs="Arial"/>
                <w:b/>
                <w:sz w:val="22"/>
              </w:rPr>
            </w:pPr>
            <w:r w:rsidRPr="007D77DF">
              <w:rPr>
                <w:rFonts w:cs="Arial"/>
                <w:b/>
                <w:sz w:val="22"/>
              </w:rPr>
              <w:t>-111.96701</w:t>
            </w:r>
          </w:p>
        </w:tc>
      </w:tr>
      <w:tr w:rsidR="005704AB" w:rsidRPr="007D77DF" w14:paraId="006BF0B5" w14:textId="77777777" w:rsidTr="00F85D89">
        <w:trPr>
          <w:trHeight w:val="300"/>
          <w:jc w:val="center"/>
        </w:trPr>
        <w:tc>
          <w:tcPr>
            <w:tcW w:w="1615" w:type="dxa"/>
            <w:tcBorders>
              <w:top w:val="nil"/>
              <w:left w:val="single" w:sz="4" w:space="0" w:color="auto"/>
              <w:bottom w:val="nil"/>
              <w:right w:val="single" w:sz="4" w:space="0" w:color="auto"/>
            </w:tcBorders>
            <w:shd w:val="clear" w:color="auto" w:fill="auto"/>
            <w:noWrap/>
            <w:vAlign w:val="center"/>
            <w:hideMark/>
          </w:tcPr>
          <w:p w14:paraId="77C650BA" w14:textId="77777777" w:rsidR="005704AB" w:rsidRPr="007D77DF" w:rsidRDefault="005704AB" w:rsidP="005704AB">
            <w:pPr>
              <w:rPr>
                <w:rFonts w:cs="Arial"/>
                <w:b/>
                <w:sz w:val="22"/>
              </w:rPr>
            </w:pPr>
            <w:r w:rsidRPr="007D77DF">
              <w:rPr>
                <w:rFonts w:cs="Arial"/>
                <w:b/>
                <w:sz w:val="22"/>
              </w:rPr>
              <w:t>MO_DEAR_US</w:t>
            </w:r>
          </w:p>
        </w:tc>
        <w:tc>
          <w:tcPr>
            <w:tcW w:w="3892" w:type="dxa"/>
            <w:tcBorders>
              <w:top w:val="nil"/>
              <w:left w:val="nil"/>
              <w:bottom w:val="nil"/>
              <w:right w:val="single" w:sz="4" w:space="0" w:color="auto"/>
            </w:tcBorders>
            <w:shd w:val="clear" w:color="auto" w:fill="auto"/>
            <w:noWrap/>
            <w:vAlign w:val="center"/>
            <w:hideMark/>
          </w:tcPr>
          <w:p w14:paraId="2C55A286" w14:textId="1072B52A" w:rsidR="005704AB" w:rsidRPr="007D77DF" w:rsidRDefault="00F85D89" w:rsidP="005704AB">
            <w:pPr>
              <w:rPr>
                <w:rFonts w:cs="Arial"/>
                <w:b/>
                <w:sz w:val="22"/>
              </w:rPr>
            </w:pPr>
            <w:r w:rsidRPr="007D77DF">
              <w:rPr>
                <w:rFonts w:cs="Arial"/>
                <w:b/>
                <w:sz w:val="22"/>
              </w:rPr>
              <w:t>Missouri River U/S Dearborn</w:t>
            </w:r>
            <w:r>
              <w:rPr>
                <w:rFonts w:cs="Arial"/>
                <w:b/>
                <w:sz w:val="22"/>
              </w:rPr>
              <w:t xml:space="preserve"> River</w:t>
            </w:r>
          </w:p>
        </w:tc>
        <w:tc>
          <w:tcPr>
            <w:tcW w:w="1238" w:type="dxa"/>
            <w:tcBorders>
              <w:top w:val="nil"/>
              <w:left w:val="nil"/>
              <w:bottom w:val="nil"/>
              <w:right w:val="single" w:sz="4" w:space="0" w:color="auto"/>
            </w:tcBorders>
            <w:shd w:val="clear" w:color="auto" w:fill="auto"/>
            <w:noWrap/>
            <w:vAlign w:val="center"/>
            <w:hideMark/>
          </w:tcPr>
          <w:p w14:paraId="6C48C84B" w14:textId="77777777" w:rsidR="005704AB" w:rsidRPr="007D77DF" w:rsidRDefault="005704AB" w:rsidP="00546170">
            <w:pPr>
              <w:jc w:val="center"/>
              <w:rPr>
                <w:rFonts w:cs="Arial"/>
                <w:b/>
                <w:sz w:val="22"/>
              </w:rPr>
            </w:pPr>
            <w:r w:rsidRPr="007D77DF">
              <w:rPr>
                <w:rFonts w:cs="Arial"/>
                <w:b/>
                <w:sz w:val="22"/>
              </w:rPr>
              <w:t>47.12819</w:t>
            </w:r>
          </w:p>
        </w:tc>
        <w:tc>
          <w:tcPr>
            <w:tcW w:w="1507" w:type="dxa"/>
            <w:tcBorders>
              <w:top w:val="nil"/>
              <w:left w:val="nil"/>
              <w:bottom w:val="nil"/>
              <w:right w:val="single" w:sz="4" w:space="0" w:color="auto"/>
            </w:tcBorders>
            <w:shd w:val="clear" w:color="auto" w:fill="auto"/>
            <w:noWrap/>
            <w:vAlign w:val="center"/>
            <w:hideMark/>
          </w:tcPr>
          <w:p w14:paraId="3F38C860" w14:textId="77777777" w:rsidR="005704AB" w:rsidRPr="007D77DF" w:rsidRDefault="005704AB" w:rsidP="00546170">
            <w:pPr>
              <w:jc w:val="center"/>
              <w:rPr>
                <w:rFonts w:cs="Arial"/>
                <w:b/>
                <w:sz w:val="22"/>
              </w:rPr>
            </w:pPr>
            <w:r w:rsidRPr="007D77DF">
              <w:rPr>
                <w:rFonts w:cs="Arial"/>
                <w:b/>
                <w:sz w:val="22"/>
              </w:rPr>
              <w:t>-111.91174</w:t>
            </w:r>
          </w:p>
        </w:tc>
      </w:tr>
      <w:tr w:rsidR="005704AB" w:rsidRPr="007D77DF" w14:paraId="5B1E7FBE" w14:textId="77777777" w:rsidTr="00F85D89">
        <w:trPr>
          <w:trHeight w:val="300"/>
          <w:jc w:val="center"/>
        </w:trPr>
        <w:tc>
          <w:tcPr>
            <w:tcW w:w="1615" w:type="dxa"/>
            <w:tcBorders>
              <w:top w:val="nil"/>
              <w:left w:val="single" w:sz="4" w:space="0" w:color="auto"/>
              <w:bottom w:val="nil"/>
              <w:right w:val="single" w:sz="4" w:space="0" w:color="auto"/>
            </w:tcBorders>
            <w:shd w:val="clear" w:color="auto" w:fill="auto"/>
            <w:noWrap/>
            <w:vAlign w:val="center"/>
            <w:hideMark/>
          </w:tcPr>
          <w:p w14:paraId="47FDFD76" w14:textId="7B2C534A" w:rsidR="005704AB" w:rsidRPr="007D77DF" w:rsidRDefault="005704AB" w:rsidP="005704AB">
            <w:pPr>
              <w:rPr>
                <w:rFonts w:cs="Arial"/>
                <w:b/>
                <w:sz w:val="22"/>
              </w:rPr>
            </w:pPr>
            <w:r>
              <w:rPr>
                <w:rFonts w:cs="Arial"/>
                <w:b/>
                <w:sz w:val="22"/>
              </w:rPr>
              <w:t>MO_DEAR_DS</w:t>
            </w:r>
          </w:p>
        </w:tc>
        <w:tc>
          <w:tcPr>
            <w:tcW w:w="3892" w:type="dxa"/>
            <w:tcBorders>
              <w:top w:val="nil"/>
              <w:left w:val="nil"/>
              <w:bottom w:val="nil"/>
              <w:right w:val="single" w:sz="4" w:space="0" w:color="auto"/>
            </w:tcBorders>
            <w:shd w:val="clear" w:color="auto" w:fill="auto"/>
            <w:noWrap/>
            <w:vAlign w:val="center"/>
            <w:hideMark/>
          </w:tcPr>
          <w:p w14:paraId="497ED715" w14:textId="4AE937E7" w:rsidR="005704AB" w:rsidRPr="007D77DF" w:rsidRDefault="00F85D89" w:rsidP="005704AB">
            <w:pPr>
              <w:rPr>
                <w:rFonts w:cs="Arial"/>
                <w:b/>
                <w:sz w:val="22"/>
              </w:rPr>
            </w:pPr>
            <w:r w:rsidRPr="007D77DF">
              <w:rPr>
                <w:rFonts w:cs="Arial"/>
                <w:b/>
                <w:sz w:val="22"/>
              </w:rPr>
              <w:t>Missouri River D/S Dearborn</w:t>
            </w:r>
            <w:r>
              <w:rPr>
                <w:rFonts w:cs="Arial"/>
                <w:b/>
                <w:sz w:val="22"/>
              </w:rPr>
              <w:t xml:space="preserve"> River</w:t>
            </w:r>
          </w:p>
        </w:tc>
        <w:tc>
          <w:tcPr>
            <w:tcW w:w="1238" w:type="dxa"/>
            <w:tcBorders>
              <w:top w:val="nil"/>
              <w:left w:val="nil"/>
              <w:bottom w:val="nil"/>
              <w:right w:val="single" w:sz="4" w:space="0" w:color="auto"/>
            </w:tcBorders>
            <w:shd w:val="clear" w:color="auto" w:fill="auto"/>
            <w:noWrap/>
            <w:vAlign w:val="center"/>
            <w:hideMark/>
          </w:tcPr>
          <w:p w14:paraId="220E106E" w14:textId="77777777" w:rsidR="005704AB" w:rsidRPr="007D77DF" w:rsidRDefault="005704AB" w:rsidP="00546170">
            <w:pPr>
              <w:jc w:val="center"/>
              <w:rPr>
                <w:rFonts w:cs="Arial"/>
                <w:b/>
                <w:sz w:val="22"/>
              </w:rPr>
            </w:pPr>
            <w:r>
              <w:rPr>
                <w:rFonts w:cs="Arial"/>
                <w:b/>
                <w:sz w:val="22"/>
              </w:rPr>
              <w:t>47.12791</w:t>
            </w:r>
          </w:p>
        </w:tc>
        <w:tc>
          <w:tcPr>
            <w:tcW w:w="1507" w:type="dxa"/>
            <w:tcBorders>
              <w:top w:val="nil"/>
              <w:left w:val="nil"/>
              <w:bottom w:val="nil"/>
              <w:right w:val="single" w:sz="4" w:space="0" w:color="auto"/>
            </w:tcBorders>
            <w:shd w:val="clear" w:color="auto" w:fill="auto"/>
            <w:noWrap/>
            <w:vAlign w:val="center"/>
            <w:hideMark/>
          </w:tcPr>
          <w:p w14:paraId="10991099" w14:textId="77777777" w:rsidR="005704AB" w:rsidRPr="007D77DF" w:rsidRDefault="005704AB" w:rsidP="00546170">
            <w:pPr>
              <w:jc w:val="center"/>
              <w:rPr>
                <w:rFonts w:cs="Arial"/>
                <w:b/>
                <w:sz w:val="22"/>
              </w:rPr>
            </w:pPr>
            <w:r>
              <w:rPr>
                <w:rFonts w:cs="Arial"/>
                <w:b/>
                <w:sz w:val="22"/>
              </w:rPr>
              <w:t>-111.9109</w:t>
            </w:r>
          </w:p>
        </w:tc>
      </w:tr>
      <w:tr w:rsidR="005704AB" w:rsidRPr="007D77DF" w14:paraId="3A5660FC" w14:textId="77777777" w:rsidTr="00F85D89">
        <w:trPr>
          <w:trHeight w:val="300"/>
          <w:jc w:val="center"/>
        </w:trPr>
        <w:tc>
          <w:tcPr>
            <w:tcW w:w="1615" w:type="dxa"/>
            <w:tcBorders>
              <w:top w:val="nil"/>
              <w:left w:val="single" w:sz="4" w:space="0" w:color="auto"/>
              <w:bottom w:val="nil"/>
              <w:right w:val="single" w:sz="4" w:space="0" w:color="auto"/>
            </w:tcBorders>
            <w:shd w:val="clear" w:color="auto" w:fill="auto"/>
            <w:noWrap/>
            <w:vAlign w:val="center"/>
            <w:hideMark/>
          </w:tcPr>
          <w:p w14:paraId="3C1784C6" w14:textId="6088782C" w:rsidR="005704AB" w:rsidRPr="007D77DF" w:rsidRDefault="005704AB" w:rsidP="005704AB">
            <w:pPr>
              <w:rPr>
                <w:rFonts w:cs="Arial"/>
                <w:b/>
                <w:sz w:val="22"/>
              </w:rPr>
            </w:pPr>
            <w:r>
              <w:rPr>
                <w:rFonts w:cs="Arial"/>
                <w:b/>
                <w:sz w:val="22"/>
              </w:rPr>
              <w:t>MO_HARDY</w:t>
            </w:r>
          </w:p>
        </w:tc>
        <w:tc>
          <w:tcPr>
            <w:tcW w:w="3892" w:type="dxa"/>
            <w:tcBorders>
              <w:top w:val="nil"/>
              <w:left w:val="nil"/>
              <w:bottom w:val="nil"/>
              <w:right w:val="single" w:sz="4" w:space="0" w:color="auto"/>
            </w:tcBorders>
            <w:shd w:val="clear" w:color="auto" w:fill="auto"/>
            <w:noWrap/>
            <w:vAlign w:val="center"/>
            <w:hideMark/>
          </w:tcPr>
          <w:p w14:paraId="4FE390A2" w14:textId="1819C745" w:rsidR="005704AB" w:rsidRPr="007D77DF" w:rsidRDefault="00F85D89" w:rsidP="005704AB">
            <w:pPr>
              <w:rPr>
                <w:rFonts w:cs="Arial"/>
                <w:b/>
                <w:sz w:val="22"/>
              </w:rPr>
            </w:pPr>
            <w:r w:rsidRPr="007D77DF">
              <w:rPr>
                <w:rFonts w:cs="Arial"/>
                <w:b/>
                <w:sz w:val="22"/>
              </w:rPr>
              <w:t>Missouri River U/S Sheep Creek (Hardy Br</w:t>
            </w:r>
            <w:r>
              <w:rPr>
                <w:rFonts w:cs="Arial"/>
                <w:b/>
                <w:sz w:val="22"/>
              </w:rPr>
              <w:t>idge: cover photo</w:t>
            </w:r>
            <w:r w:rsidRPr="007D77DF">
              <w:rPr>
                <w:rFonts w:cs="Arial"/>
                <w:b/>
                <w:sz w:val="22"/>
              </w:rPr>
              <w:t>)</w:t>
            </w:r>
          </w:p>
        </w:tc>
        <w:tc>
          <w:tcPr>
            <w:tcW w:w="1238" w:type="dxa"/>
            <w:tcBorders>
              <w:top w:val="nil"/>
              <w:left w:val="nil"/>
              <w:bottom w:val="nil"/>
              <w:right w:val="single" w:sz="4" w:space="0" w:color="auto"/>
            </w:tcBorders>
            <w:shd w:val="clear" w:color="auto" w:fill="auto"/>
            <w:noWrap/>
            <w:vAlign w:val="center"/>
            <w:hideMark/>
          </w:tcPr>
          <w:p w14:paraId="68308944" w14:textId="77777777" w:rsidR="005704AB" w:rsidRPr="007D77DF" w:rsidRDefault="005704AB" w:rsidP="00546170">
            <w:pPr>
              <w:jc w:val="center"/>
              <w:rPr>
                <w:rFonts w:cs="Arial"/>
                <w:b/>
                <w:sz w:val="22"/>
              </w:rPr>
            </w:pPr>
            <w:r w:rsidRPr="007D77DF">
              <w:rPr>
                <w:rFonts w:cs="Arial"/>
                <w:b/>
                <w:sz w:val="22"/>
              </w:rPr>
              <w:t>47.16781</w:t>
            </w:r>
          </w:p>
        </w:tc>
        <w:tc>
          <w:tcPr>
            <w:tcW w:w="1507" w:type="dxa"/>
            <w:tcBorders>
              <w:top w:val="nil"/>
              <w:left w:val="nil"/>
              <w:bottom w:val="nil"/>
              <w:right w:val="single" w:sz="4" w:space="0" w:color="auto"/>
            </w:tcBorders>
            <w:shd w:val="clear" w:color="auto" w:fill="auto"/>
            <w:noWrap/>
            <w:vAlign w:val="center"/>
            <w:hideMark/>
          </w:tcPr>
          <w:p w14:paraId="290EDD8E" w14:textId="77777777" w:rsidR="005704AB" w:rsidRPr="007D77DF" w:rsidRDefault="005704AB" w:rsidP="00546170">
            <w:pPr>
              <w:jc w:val="center"/>
              <w:rPr>
                <w:rFonts w:cs="Arial"/>
                <w:b/>
                <w:sz w:val="22"/>
              </w:rPr>
            </w:pPr>
            <w:r w:rsidRPr="007D77DF">
              <w:rPr>
                <w:rFonts w:cs="Arial"/>
                <w:b/>
                <w:sz w:val="22"/>
              </w:rPr>
              <w:t>-111.83366</w:t>
            </w:r>
          </w:p>
        </w:tc>
      </w:tr>
      <w:tr w:rsidR="005704AB" w:rsidRPr="007D77DF" w14:paraId="2726696E" w14:textId="77777777" w:rsidTr="00F85D89">
        <w:trPr>
          <w:trHeight w:val="300"/>
          <w:jc w:val="center"/>
        </w:trPr>
        <w:tc>
          <w:tcPr>
            <w:tcW w:w="1615" w:type="dxa"/>
            <w:tcBorders>
              <w:top w:val="nil"/>
              <w:left w:val="single" w:sz="4" w:space="0" w:color="auto"/>
              <w:bottom w:val="single" w:sz="4" w:space="0" w:color="auto"/>
              <w:right w:val="single" w:sz="4" w:space="0" w:color="auto"/>
            </w:tcBorders>
            <w:shd w:val="clear" w:color="auto" w:fill="auto"/>
            <w:noWrap/>
            <w:vAlign w:val="center"/>
            <w:hideMark/>
          </w:tcPr>
          <w:p w14:paraId="1ED37991" w14:textId="77777777" w:rsidR="005704AB" w:rsidRPr="007D77DF" w:rsidRDefault="005704AB" w:rsidP="005704AB">
            <w:pPr>
              <w:rPr>
                <w:rFonts w:cs="Arial"/>
                <w:b/>
                <w:sz w:val="22"/>
              </w:rPr>
            </w:pPr>
            <w:r w:rsidRPr="007D77DF">
              <w:rPr>
                <w:rFonts w:cs="Arial"/>
                <w:b/>
                <w:sz w:val="22"/>
              </w:rPr>
              <w:t>MO_CASCADE</w:t>
            </w:r>
          </w:p>
        </w:tc>
        <w:tc>
          <w:tcPr>
            <w:tcW w:w="3892" w:type="dxa"/>
            <w:tcBorders>
              <w:top w:val="nil"/>
              <w:left w:val="nil"/>
              <w:bottom w:val="single" w:sz="4" w:space="0" w:color="auto"/>
              <w:right w:val="single" w:sz="4" w:space="0" w:color="auto"/>
            </w:tcBorders>
            <w:shd w:val="clear" w:color="auto" w:fill="auto"/>
            <w:noWrap/>
            <w:vAlign w:val="center"/>
            <w:hideMark/>
          </w:tcPr>
          <w:p w14:paraId="3149FE2F" w14:textId="2FFE60A2" w:rsidR="005704AB" w:rsidRPr="007D77DF" w:rsidRDefault="00F85D89" w:rsidP="005704AB">
            <w:pPr>
              <w:rPr>
                <w:rFonts w:cs="Arial"/>
                <w:b/>
                <w:sz w:val="22"/>
              </w:rPr>
            </w:pPr>
            <w:r w:rsidRPr="007D77DF">
              <w:rPr>
                <w:rFonts w:cs="Arial"/>
                <w:b/>
                <w:sz w:val="22"/>
              </w:rPr>
              <w:t>Missouri River</w:t>
            </w:r>
            <w:r>
              <w:rPr>
                <w:rFonts w:cs="Arial"/>
                <w:b/>
                <w:sz w:val="22"/>
              </w:rPr>
              <w:t xml:space="preserve"> @</w:t>
            </w:r>
            <w:r w:rsidRPr="007D77DF">
              <w:rPr>
                <w:rFonts w:cs="Arial"/>
                <w:b/>
                <w:sz w:val="22"/>
              </w:rPr>
              <w:t xml:space="preserve"> Cascade F</w:t>
            </w:r>
            <w:r>
              <w:rPr>
                <w:rFonts w:cs="Arial"/>
                <w:b/>
                <w:sz w:val="22"/>
              </w:rPr>
              <w:t>AS</w:t>
            </w:r>
          </w:p>
        </w:tc>
        <w:tc>
          <w:tcPr>
            <w:tcW w:w="1238" w:type="dxa"/>
            <w:tcBorders>
              <w:top w:val="nil"/>
              <w:left w:val="nil"/>
              <w:bottom w:val="single" w:sz="4" w:space="0" w:color="auto"/>
              <w:right w:val="single" w:sz="4" w:space="0" w:color="auto"/>
            </w:tcBorders>
            <w:shd w:val="clear" w:color="auto" w:fill="auto"/>
            <w:noWrap/>
            <w:vAlign w:val="center"/>
            <w:hideMark/>
          </w:tcPr>
          <w:p w14:paraId="7EA90C30" w14:textId="77777777" w:rsidR="005704AB" w:rsidRPr="007D77DF" w:rsidRDefault="005704AB" w:rsidP="00546170">
            <w:pPr>
              <w:jc w:val="center"/>
              <w:rPr>
                <w:rFonts w:cs="Arial"/>
                <w:b/>
                <w:sz w:val="22"/>
              </w:rPr>
            </w:pPr>
            <w:r w:rsidRPr="007D77DF">
              <w:rPr>
                <w:rFonts w:cs="Arial"/>
                <w:b/>
                <w:sz w:val="22"/>
              </w:rPr>
              <w:t>47.28062</w:t>
            </w:r>
          </w:p>
        </w:tc>
        <w:tc>
          <w:tcPr>
            <w:tcW w:w="1507" w:type="dxa"/>
            <w:tcBorders>
              <w:top w:val="nil"/>
              <w:left w:val="nil"/>
              <w:bottom w:val="single" w:sz="4" w:space="0" w:color="auto"/>
              <w:right w:val="single" w:sz="4" w:space="0" w:color="auto"/>
            </w:tcBorders>
            <w:shd w:val="clear" w:color="auto" w:fill="auto"/>
            <w:noWrap/>
            <w:vAlign w:val="center"/>
            <w:hideMark/>
          </w:tcPr>
          <w:p w14:paraId="364599B4" w14:textId="77777777" w:rsidR="005704AB" w:rsidRPr="007D77DF" w:rsidRDefault="005704AB" w:rsidP="00546170">
            <w:pPr>
              <w:jc w:val="center"/>
              <w:rPr>
                <w:rFonts w:cs="Arial"/>
                <w:b/>
                <w:sz w:val="22"/>
              </w:rPr>
            </w:pPr>
            <w:r w:rsidRPr="007D77DF">
              <w:rPr>
                <w:rFonts w:cs="Arial"/>
                <w:b/>
                <w:sz w:val="22"/>
              </w:rPr>
              <w:t>-111.69113</w:t>
            </w:r>
          </w:p>
        </w:tc>
      </w:tr>
    </w:tbl>
    <w:p w14:paraId="68B42934" w14:textId="77777777" w:rsidR="00F85D89" w:rsidRDefault="00F85D89" w:rsidP="005C7957">
      <w:pPr>
        <w:pStyle w:val="Caption"/>
        <w:jc w:val="center"/>
        <w:rPr>
          <w:color w:val="000000" w:themeColor="text1"/>
          <w:sz w:val="22"/>
          <w:szCs w:val="22"/>
        </w:rPr>
      </w:pPr>
    </w:p>
    <w:p w14:paraId="11EBAD58" w14:textId="3365EFFA" w:rsidR="00BC793C" w:rsidRDefault="00B767C5" w:rsidP="005C7957">
      <w:pPr>
        <w:pStyle w:val="Caption"/>
        <w:jc w:val="center"/>
        <w:rPr>
          <w:color w:val="000000" w:themeColor="text1"/>
          <w:sz w:val="22"/>
          <w:szCs w:val="22"/>
        </w:rPr>
      </w:pPr>
      <w:r w:rsidRPr="00546170">
        <w:rPr>
          <w:color w:val="000000" w:themeColor="text1"/>
          <w:sz w:val="22"/>
          <w:szCs w:val="22"/>
        </w:rPr>
        <w:t xml:space="preserve">Figure </w:t>
      </w:r>
      <w:r w:rsidR="00FB33C7" w:rsidRPr="00546170">
        <w:rPr>
          <w:color w:val="000000" w:themeColor="text1"/>
          <w:sz w:val="22"/>
          <w:szCs w:val="22"/>
        </w:rPr>
        <w:fldChar w:fldCharType="begin"/>
      </w:r>
      <w:r w:rsidR="00FB33C7" w:rsidRPr="00546170">
        <w:rPr>
          <w:color w:val="000000" w:themeColor="text1"/>
          <w:sz w:val="22"/>
          <w:szCs w:val="22"/>
        </w:rPr>
        <w:instrText xml:space="preserve"> SEQ Figure \* ARABIC </w:instrText>
      </w:r>
      <w:r w:rsidR="00FB33C7" w:rsidRPr="00546170">
        <w:rPr>
          <w:color w:val="000000" w:themeColor="text1"/>
          <w:sz w:val="22"/>
          <w:szCs w:val="22"/>
        </w:rPr>
        <w:fldChar w:fldCharType="separate"/>
      </w:r>
      <w:r w:rsidR="00D22B2A" w:rsidRPr="00546170">
        <w:rPr>
          <w:noProof/>
          <w:color w:val="000000" w:themeColor="text1"/>
          <w:sz w:val="22"/>
          <w:szCs w:val="22"/>
        </w:rPr>
        <w:t>1</w:t>
      </w:r>
      <w:r w:rsidR="00FB33C7" w:rsidRPr="00546170">
        <w:rPr>
          <w:noProof/>
          <w:color w:val="000000" w:themeColor="text1"/>
          <w:sz w:val="22"/>
          <w:szCs w:val="22"/>
        </w:rPr>
        <w:fldChar w:fldCharType="end"/>
      </w:r>
      <w:r w:rsidR="00546170">
        <w:rPr>
          <w:noProof/>
          <w:color w:val="000000" w:themeColor="text1"/>
          <w:sz w:val="22"/>
          <w:szCs w:val="22"/>
        </w:rPr>
        <w:t>.  WQ</w:t>
      </w:r>
      <w:r w:rsidR="00214640" w:rsidRPr="00546170">
        <w:rPr>
          <w:color w:val="000000" w:themeColor="text1"/>
          <w:sz w:val="22"/>
          <w:szCs w:val="22"/>
        </w:rPr>
        <w:t xml:space="preserve"> Sampl</w:t>
      </w:r>
      <w:r w:rsidR="00546170">
        <w:rPr>
          <w:color w:val="000000" w:themeColor="text1"/>
          <w:sz w:val="22"/>
          <w:szCs w:val="22"/>
        </w:rPr>
        <w:t>ing</w:t>
      </w:r>
      <w:r w:rsidR="00214640" w:rsidRPr="00546170">
        <w:rPr>
          <w:color w:val="000000" w:themeColor="text1"/>
          <w:sz w:val="22"/>
          <w:szCs w:val="22"/>
        </w:rPr>
        <w:t xml:space="preserve"> s</w:t>
      </w:r>
      <w:r w:rsidRPr="00546170">
        <w:rPr>
          <w:color w:val="000000" w:themeColor="text1"/>
          <w:sz w:val="22"/>
          <w:szCs w:val="22"/>
        </w:rPr>
        <w:t xml:space="preserve">ites are denoted by </w:t>
      </w:r>
      <w:r w:rsidR="00D22B2A" w:rsidRPr="00546170">
        <w:rPr>
          <w:color w:val="000000" w:themeColor="text1"/>
          <w:sz w:val="22"/>
          <w:szCs w:val="22"/>
        </w:rPr>
        <w:t>bull’s-eyes</w:t>
      </w:r>
      <w:r w:rsidR="00214640" w:rsidRPr="00546170">
        <w:rPr>
          <w:color w:val="000000" w:themeColor="text1"/>
          <w:sz w:val="22"/>
          <w:szCs w:val="22"/>
        </w:rPr>
        <w:t>.</w:t>
      </w:r>
    </w:p>
    <w:p w14:paraId="5D40FFDF" w14:textId="77777777" w:rsidR="00EF79AE" w:rsidRPr="00EF79AE" w:rsidRDefault="00EF79AE" w:rsidP="00EF79AE"/>
    <w:p w14:paraId="6080C728" w14:textId="54E99696" w:rsidR="00B767C5" w:rsidRPr="00766E7B" w:rsidRDefault="00A54177" w:rsidP="00743778">
      <w:pPr>
        <w:pStyle w:val="Heading2"/>
        <w:rPr>
          <w:color w:val="1F497D" w:themeColor="text2"/>
        </w:rPr>
      </w:pPr>
      <w:bookmarkStart w:id="4" w:name="_Toc380156855"/>
      <w:r w:rsidRPr="00766E7B">
        <w:rPr>
          <w:color w:val="1F497D" w:themeColor="text2"/>
        </w:rPr>
        <w:lastRenderedPageBreak/>
        <w:t xml:space="preserve">2.2 </w:t>
      </w:r>
      <w:r w:rsidR="00B767C5" w:rsidRPr="00766E7B">
        <w:rPr>
          <w:color w:val="1F497D" w:themeColor="text2"/>
        </w:rPr>
        <w:t>Sample Timing</w:t>
      </w:r>
      <w:bookmarkEnd w:id="4"/>
    </w:p>
    <w:p w14:paraId="327A1FB7" w14:textId="6CD92BF8" w:rsidR="009A43B3" w:rsidRDefault="009A43B3" w:rsidP="00EF79AE">
      <w:pPr>
        <w:jc w:val="both"/>
      </w:pPr>
      <w:r>
        <w:t>S</w:t>
      </w:r>
      <w:r w:rsidR="002C3287">
        <w:t>amples were collected seasonally in order to examine</w:t>
      </w:r>
      <w:r w:rsidR="00A54177">
        <w:t xml:space="preserve"> temporal changes in</w:t>
      </w:r>
      <w:r w:rsidR="002C3287">
        <w:t xml:space="preserve"> water quality through the year</w:t>
      </w:r>
      <w:r w:rsidR="00350CC1">
        <w:t>, especially related to</w:t>
      </w:r>
      <w:r w:rsidR="00350CC1" w:rsidRPr="00350CC1">
        <w:t xml:space="preserve"> </w:t>
      </w:r>
      <w:r w:rsidR="00350CC1">
        <w:t xml:space="preserve">the summer </w:t>
      </w:r>
      <w:r w:rsidR="00501352">
        <w:t>irrigation/</w:t>
      </w:r>
      <w:r w:rsidR="00350CC1">
        <w:t>growing season</w:t>
      </w:r>
      <w:r w:rsidR="002C3287">
        <w:t xml:space="preserve">. </w:t>
      </w:r>
      <w:r w:rsidR="00EF79AE">
        <w:t xml:space="preserve"> </w:t>
      </w:r>
      <w:r>
        <w:t>In 201</w:t>
      </w:r>
      <w:r w:rsidR="00EF79AE">
        <w:t>8</w:t>
      </w:r>
      <w:r>
        <w:t xml:space="preserve">, samples were collected in </w:t>
      </w:r>
      <w:r w:rsidR="00EF79AE">
        <w:t xml:space="preserve">June, </w:t>
      </w:r>
      <w:r>
        <w:t xml:space="preserve">July and October. </w:t>
      </w:r>
      <w:r w:rsidR="00EF79AE">
        <w:t xml:space="preserve"> </w:t>
      </w:r>
      <w:r>
        <w:t>High water during the spring prevented the collection of April samples.</w:t>
      </w:r>
    </w:p>
    <w:p w14:paraId="5B0CCCB0" w14:textId="77777777" w:rsidR="009A43B3" w:rsidRDefault="009A43B3" w:rsidP="00EF79AE">
      <w:pPr>
        <w:jc w:val="both"/>
      </w:pPr>
    </w:p>
    <w:p w14:paraId="55D32B04" w14:textId="120A5D99" w:rsidR="002C3287" w:rsidRDefault="00B767C5" w:rsidP="00EF79AE">
      <w:pPr>
        <w:jc w:val="both"/>
      </w:pPr>
      <w:r>
        <w:t xml:space="preserve">Summer </w:t>
      </w:r>
      <w:r w:rsidR="00130AF5">
        <w:t xml:space="preserve">2018 </w:t>
      </w:r>
      <w:r>
        <w:t xml:space="preserve">samples were collected </w:t>
      </w:r>
      <w:r w:rsidR="00350CC1">
        <w:t xml:space="preserve">on </w:t>
      </w:r>
      <w:r w:rsidR="009A43B3">
        <w:t>Ju</w:t>
      </w:r>
      <w:r w:rsidR="00130AF5">
        <w:t>ne</w:t>
      </w:r>
      <w:r w:rsidR="009A43B3">
        <w:t xml:space="preserve"> </w:t>
      </w:r>
      <w:r w:rsidR="00130AF5">
        <w:t>20</w:t>
      </w:r>
      <w:r w:rsidR="002C3287" w:rsidRPr="002C3287">
        <w:rPr>
          <w:vertAlign w:val="superscript"/>
        </w:rPr>
        <w:t>th</w:t>
      </w:r>
      <w:r w:rsidR="00350CC1">
        <w:t xml:space="preserve">, </w:t>
      </w:r>
      <w:r w:rsidR="00130AF5">
        <w:t>July 24</w:t>
      </w:r>
      <w:r w:rsidR="00130AF5" w:rsidRPr="00130AF5">
        <w:rPr>
          <w:vertAlign w:val="superscript"/>
        </w:rPr>
        <w:t>th</w:t>
      </w:r>
      <w:r w:rsidR="002C3287">
        <w:t xml:space="preserve"> </w:t>
      </w:r>
      <w:r w:rsidR="00350CC1">
        <w:t>and October 1</w:t>
      </w:r>
      <w:r w:rsidR="00350CC1" w:rsidRPr="00350CC1">
        <w:rPr>
          <w:vertAlign w:val="superscript"/>
        </w:rPr>
        <w:t>st</w:t>
      </w:r>
      <w:r w:rsidR="00350CC1">
        <w:t>, while in 2019, only a fall sampling period was collected (October 4</w:t>
      </w:r>
      <w:r w:rsidR="00350CC1" w:rsidRPr="00350CC1">
        <w:rPr>
          <w:vertAlign w:val="superscript"/>
        </w:rPr>
        <w:t>th</w:t>
      </w:r>
      <w:r w:rsidR="00350CC1">
        <w:t xml:space="preserve">) </w:t>
      </w:r>
      <w:r w:rsidR="00130AF5">
        <w:t>(</w:t>
      </w:r>
      <w:r w:rsidR="00130AF5" w:rsidRPr="00350CC1">
        <w:rPr>
          <w:b/>
          <w:bCs/>
        </w:rPr>
        <w:t>Figure 1</w:t>
      </w:r>
      <w:r w:rsidR="00130AF5">
        <w:t xml:space="preserve">). </w:t>
      </w:r>
      <w:r w:rsidR="00350CC1">
        <w:t xml:space="preserve"> </w:t>
      </w:r>
      <w:r w:rsidR="00A54177">
        <w:t xml:space="preserve">These samples captured </w:t>
      </w:r>
      <w:r w:rsidR="00350CC1">
        <w:t xml:space="preserve">a high-flow event, summer </w:t>
      </w:r>
      <w:r w:rsidR="00A54177">
        <w:t>base-flow</w:t>
      </w:r>
      <w:r w:rsidR="00350CC1" w:rsidRPr="00350CC1">
        <w:t xml:space="preserve"> </w:t>
      </w:r>
      <w:r w:rsidR="00350CC1">
        <w:t>during the growing season and post-irrigation</w:t>
      </w:r>
      <w:r w:rsidR="00A54177">
        <w:t xml:space="preserve"> water quality. </w:t>
      </w:r>
      <w:r w:rsidR="00CE13AC">
        <w:t xml:space="preserve"> </w:t>
      </w:r>
    </w:p>
    <w:p w14:paraId="3D6F46B6" w14:textId="77777777" w:rsidR="00F85D89" w:rsidRDefault="00F85D89" w:rsidP="00EF79AE">
      <w:pPr>
        <w:jc w:val="both"/>
      </w:pPr>
    </w:p>
    <w:p w14:paraId="73CFA775" w14:textId="0C653508" w:rsidR="00380CCB" w:rsidRPr="00EF79AE" w:rsidRDefault="00F85D89" w:rsidP="00282AD6">
      <w:pPr>
        <w:pStyle w:val="Caption"/>
        <w:jc w:val="center"/>
        <w:rPr>
          <w:color w:val="000000" w:themeColor="text1"/>
          <w:sz w:val="22"/>
          <w:szCs w:val="22"/>
        </w:rPr>
      </w:pPr>
      <w:r>
        <w:rPr>
          <w:noProof/>
        </w:rPr>
        <mc:AlternateContent>
          <mc:Choice Requires="wpg">
            <w:drawing>
              <wp:anchor distT="0" distB="0" distL="114300" distR="114300" simplePos="0" relativeHeight="251667456" behindDoc="0" locked="0" layoutInCell="1" allowOverlap="1" wp14:anchorId="1FE4F7C1" wp14:editId="546E8F48">
                <wp:simplePos x="0" y="0"/>
                <wp:positionH relativeFrom="margin">
                  <wp:align>center</wp:align>
                </wp:positionH>
                <wp:positionV relativeFrom="margin">
                  <wp:posOffset>2461895</wp:posOffset>
                </wp:positionV>
                <wp:extent cx="5100320" cy="3781425"/>
                <wp:effectExtent l="0" t="0" r="5080" b="9525"/>
                <wp:wrapSquare wrapText="bothSides"/>
                <wp:docPr id="13" name="Group 13"/>
                <wp:cNvGraphicFramePr/>
                <a:graphic xmlns:a="http://schemas.openxmlformats.org/drawingml/2006/main">
                  <a:graphicData uri="http://schemas.microsoft.com/office/word/2010/wordprocessingGroup">
                    <wpg:wgp>
                      <wpg:cNvGrpSpPr/>
                      <wpg:grpSpPr>
                        <a:xfrm>
                          <a:off x="0" y="0"/>
                          <a:ext cx="5100320" cy="3781425"/>
                          <a:chOff x="0" y="0"/>
                          <a:chExt cx="5100320" cy="3781425"/>
                        </a:xfrm>
                      </wpg:grpSpPr>
                      <pic:pic xmlns:pic="http://schemas.openxmlformats.org/drawingml/2006/picture">
                        <pic:nvPicPr>
                          <pic:cNvPr id="7" name="Picture 7"/>
                          <pic:cNvPicPr>
                            <a:picLocks noChangeAspect="1"/>
                          </pic:cNvPicPr>
                        </pic:nvPicPr>
                        <pic:blipFill>
                          <a:blip r:embed="rId10"/>
                          <a:stretch>
                            <a:fillRect/>
                          </a:stretch>
                        </pic:blipFill>
                        <pic:spPr>
                          <a:xfrm>
                            <a:off x="0" y="0"/>
                            <a:ext cx="5100320" cy="3781425"/>
                          </a:xfrm>
                          <a:prstGeom prst="rect">
                            <a:avLst/>
                          </a:prstGeom>
                        </pic:spPr>
                      </pic:pic>
                      <wps:wsp>
                        <wps:cNvPr id="8" name="Straight Arrow Connector 8"/>
                        <wps:cNvCnPr/>
                        <wps:spPr>
                          <a:xfrm>
                            <a:off x="1562100" y="809625"/>
                            <a:ext cx="0" cy="304800"/>
                          </a:xfrm>
                          <a:prstGeom prst="straightConnector1">
                            <a:avLst/>
                          </a:prstGeom>
                          <a:ln w="28575">
                            <a:solidFill>
                              <a:srgbClr val="FF0000"/>
                            </a:solidFill>
                            <a:tailEnd type="triangle"/>
                          </a:ln>
                        </wps:spPr>
                        <wps:style>
                          <a:lnRef idx="2">
                            <a:schemeClr val="accent1"/>
                          </a:lnRef>
                          <a:fillRef idx="0">
                            <a:schemeClr val="accent1"/>
                          </a:fillRef>
                          <a:effectRef idx="1">
                            <a:schemeClr val="accent1"/>
                          </a:effectRef>
                          <a:fontRef idx="minor">
                            <a:schemeClr val="tx1"/>
                          </a:fontRef>
                        </wps:style>
                        <wps:bodyPr/>
                      </wps:wsp>
                      <wps:wsp>
                        <wps:cNvPr id="9" name="Straight Arrow Connector 9"/>
                        <wps:cNvCnPr/>
                        <wps:spPr>
                          <a:xfrm>
                            <a:off x="1771650" y="819150"/>
                            <a:ext cx="0" cy="304800"/>
                          </a:xfrm>
                          <a:prstGeom prst="straightConnector1">
                            <a:avLst/>
                          </a:prstGeom>
                          <a:ln w="28575">
                            <a:solidFill>
                              <a:srgbClr val="FF0000"/>
                            </a:solidFill>
                            <a:tailEnd type="triangle"/>
                          </a:ln>
                        </wps:spPr>
                        <wps:style>
                          <a:lnRef idx="2">
                            <a:schemeClr val="accent1"/>
                          </a:lnRef>
                          <a:fillRef idx="0">
                            <a:schemeClr val="accent1"/>
                          </a:fillRef>
                          <a:effectRef idx="1">
                            <a:schemeClr val="accent1"/>
                          </a:effectRef>
                          <a:fontRef idx="minor">
                            <a:schemeClr val="tx1"/>
                          </a:fontRef>
                        </wps:style>
                        <wps:bodyPr/>
                      </wps:wsp>
                      <wps:wsp>
                        <wps:cNvPr id="11" name="Straight Arrow Connector 11"/>
                        <wps:cNvCnPr/>
                        <wps:spPr>
                          <a:xfrm>
                            <a:off x="2181225" y="828675"/>
                            <a:ext cx="0" cy="304800"/>
                          </a:xfrm>
                          <a:prstGeom prst="straightConnector1">
                            <a:avLst/>
                          </a:prstGeom>
                          <a:ln w="28575">
                            <a:solidFill>
                              <a:srgbClr val="FF0000"/>
                            </a:solidFill>
                            <a:tailEnd type="triangle"/>
                          </a:ln>
                        </wps:spPr>
                        <wps:style>
                          <a:lnRef idx="2">
                            <a:schemeClr val="accent1"/>
                          </a:lnRef>
                          <a:fillRef idx="0">
                            <a:schemeClr val="accent1"/>
                          </a:fillRef>
                          <a:effectRef idx="1">
                            <a:schemeClr val="accent1"/>
                          </a:effectRef>
                          <a:fontRef idx="minor">
                            <a:schemeClr val="tx1"/>
                          </a:fontRef>
                        </wps:style>
                        <wps:bodyPr/>
                      </wps:wsp>
                      <wps:wsp>
                        <wps:cNvPr id="12" name="Straight Arrow Connector 12"/>
                        <wps:cNvCnPr/>
                        <wps:spPr>
                          <a:xfrm>
                            <a:off x="4333875" y="819150"/>
                            <a:ext cx="0" cy="304800"/>
                          </a:xfrm>
                          <a:prstGeom prst="straightConnector1">
                            <a:avLst/>
                          </a:prstGeom>
                          <a:ln w="28575">
                            <a:solidFill>
                              <a:srgbClr val="FF0000"/>
                            </a:solidFill>
                            <a:tailEnd type="triangle"/>
                          </a:ln>
                        </wps:spPr>
                        <wps:style>
                          <a:lnRef idx="2">
                            <a:schemeClr val="accent1"/>
                          </a:lnRef>
                          <a:fillRef idx="0">
                            <a:schemeClr val="accent1"/>
                          </a:fillRef>
                          <a:effectRef idx="1">
                            <a:schemeClr val="accent1"/>
                          </a:effectRef>
                          <a:fontRef idx="minor">
                            <a:schemeClr val="tx1"/>
                          </a:fontRef>
                        </wps:style>
                        <wps:bodyPr/>
                      </wps:wsp>
                    </wpg:wgp>
                  </a:graphicData>
                </a:graphic>
              </wp:anchor>
            </w:drawing>
          </mc:Choice>
          <mc:Fallback>
            <w:pict>
              <v:group w14:anchorId="716C2350" id="Group 13" o:spid="_x0000_s1026" style="position:absolute;margin-left:0;margin-top:193.85pt;width:401.6pt;height:297.75pt;z-index:251667456;mso-position-horizontal:center;mso-position-horizontal-relative:margin;mso-position-vertical-relative:margin" coordsize="51003,378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width:51003;height:378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">
                  <v:imagedata r:id="rId11" o:title=""/>
                </v:shape>
                <v:shapetype id="_x0000_t32" coordsize="21600,21600" o:spt="32" o:oned="t" path="m,l21600,21600e" filled="f">
                  <v:path arrowok="t" fillok="f" o:connecttype="none"/>
                  <o:lock v:ext="edit" shapetype="t"/>
                </v:shapetype>
                <v:shape id="Straight Arrow Connector 8" o:spid="_x0000_s1028" type="#_x0000_t32" style="position:absolute;left:15621;top:8096;width:0;height:30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" strokecolor="red" strokeweight="2.25pt">
                  <v:stroke endarrow="block"/>
                  <v:shadow on="t" color="black" opacity="24903f" origin=",.5" offset="0,.55556mm"/>
                </v:shape>
                <v:shape id="Straight Arrow Connector 9" o:spid="_x0000_s1029" type="#_x0000_t32" style="position:absolute;left:17716;top:8191;width:0;height:30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" strokecolor="red" strokeweight="2.25pt">
                  <v:stroke endarrow="block"/>
                  <v:shadow on="t" color="black" opacity="24903f" origin=",.5" offset="0,.55556mm"/>
                </v:shape>
                <v:shape id="Straight Arrow Connector 11" o:spid="_x0000_s1030" type="#_x0000_t32" style="position:absolute;left:21812;top:8286;width:0;height:30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" strokecolor="red" strokeweight="2.25pt">
                  <v:stroke endarrow="block"/>
                  <v:shadow on="t" color="black" opacity="24903f" origin=",.5" offset="0,.55556mm"/>
                </v:shape>
                <v:shape id="Straight Arrow Connector 12" o:spid="_x0000_s1031" type="#_x0000_t32" style="position:absolute;left:43338;top:8191;width:0;height:30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" strokecolor="red" strokeweight="2.25pt">
                  <v:stroke endarrow="block"/>
                  <v:shadow on="t" color="black" opacity="24903f" origin=",.5" offset="0,.55556mm"/>
                </v:shape>
                <w10:wrap type="square" anchorx="margin" anchory="margin"/>
              </v:group>
            </w:pict>
          </mc:Fallback>
        </mc:AlternateContent>
      </w:r>
      <w:r w:rsidR="002C3287" w:rsidRPr="00EF79AE">
        <w:rPr>
          <w:color w:val="000000" w:themeColor="text1"/>
          <w:sz w:val="22"/>
          <w:szCs w:val="22"/>
        </w:rPr>
        <w:t xml:space="preserve">Figure </w:t>
      </w:r>
      <w:r w:rsidR="00FB33C7" w:rsidRPr="00EF79AE">
        <w:rPr>
          <w:color w:val="000000" w:themeColor="text1"/>
          <w:sz w:val="22"/>
          <w:szCs w:val="22"/>
        </w:rPr>
        <w:fldChar w:fldCharType="begin"/>
      </w:r>
      <w:r w:rsidR="00FB33C7" w:rsidRPr="00EF79AE">
        <w:rPr>
          <w:color w:val="000000" w:themeColor="text1"/>
          <w:sz w:val="22"/>
          <w:szCs w:val="22"/>
        </w:rPr>
        <w:instrText xml:space="preserve"> SEQ Figure \* ARABIC </w:instrText>
      </w:r>
      <w:r w:rsidR="00FB33C7" w:rsidRPr="00EF79AE">
        <w:rPr>
          <w:color w:val="000000" w:themeColor="text1"/>
          <w:sz w:val="22"/>
          <w:szCs w:val="22"/>
        </w:rPr>
        <w:fldChar w:fldCharType="separate"/>
      </w:r>
      <w:r w:rsidR="00D22B2A" w:rsidRPr="00EF79AE">
        <w:rPr>
          <w:noProof/>
          <w:color w:val="000000" w:themeColor="text1"/>
          <w:sz w:val="22"/>
          <w:szCs w:val="22"/>
        </w:rPr>
        <w:t>2</w:t>
      </w:r>
      <w:r w:rsidR="00FB33C7" w:rsidRPr="00EF79AE">
        <w:rPr>
          <w:noProof/>
          <w:color w:val="000000" w:themeColor="text1"/>
          <w:sz w:val="22"/>
          <w:szCs w:val="22"/>
        </w:rPr>
        <w:fldChar w:fldCharType="end"/>
      </w:r>
      <w:r w:rsidR="00EF79AE">
        <w:rPr>
          <w:noProof/>
          <w:color w:val="000000" w:themeColor="text1"/>
          <w:sz w:val="22"/>
          <w:szCs w:val="22"/>
        </w:rPr>
        <w:t>.</w:t>
      </w:r>
      <w:r w:rsidR="002C3287" w:rsidRPr="00EF79AE">
        <w:rPr>
          <w:color w:val="000000" w:themeColor="text1"/>
          <w:sz w:val="22"/>
          <w:szCs w:val="22"/>
        </w:rPr>
        <w:t xml:space="preserve"> </w:t>
      </w:r>
      <w:r w:rsidR="002833AA">
        <w:rPr>
          <w:color w:val="000000" w:themeColor="text1"/>
          <w:sz w:val="22"/>
          <w:szCs w:val="22"/>
        </w:rPr>
        <w:t>Discharge below Holter Dam from Jan 2018-2020</w:t>
      </w:r>
      <w:r w:rsidR="00350CC1">
        <w:rPr>
          <w:color w:val="000000" w:themeColor="text1"/>
          <w:sz w:val="22"/>
          <w:szCs w:val="22"/>
        </w:rPr>
        <w:t xml:space="preserve">. </w:t>
      </w:r>
      <w:r w:rsidR="002C3287" w:rsidRPr="00EF79AE">
        <w:rPr>
          <w:color w:val="000000" w:themeColor="text1"/>
          <w:sz w:val="22"/>
          <w:szCs w:val="22"/>
        </w:rPr>
        <w:t>Red arrows represent sampling dates</w:t>
      </w:r>
    </w:p>
    <w:p w14:paraId="117BF961" w14:textId="77777777" w:rsidR="00350CC1" w:rsidRDefault="00350CC1" w:rsidP="00743778">
      <w:pPr>
        <w:pStyle w:val="Heading2"/>
        <w:rPr>
          <w:color w:val="1F497D" w:themeColor="text2"/>
        </w:rPr>
      </w:pPr>
      <w:bookmarkStart w:id="5" w:name="_Toc380156856"/>
    </w:p>
    <w:p w14:paraId="5AF57670" w14:textId="307B9E7D" w:rsidR="00017C81" w:rsidRPr="00766E7B" w:rsidRDefault="005A13B6" w:rsidP="00743778">
      <w:pPr>
        <w:pStyle w:val="Heading2"/>
        <w:rPr>
          <w:color w:val="1F497D" w:themeColor="text2"/>
        </w:rPr>
      </w:pPr>
      <w:r w:rsidRPr="00766E7B">
        <w:rPr>
          <w:color w:val="1F497D" w:themeColor="text2"/>
        </w:rPr>
        <w:t xml:space="preserve">2.3 </w:t>
      </w:r>
      <w:r w:rsidR="00A60354" w:rsidRPr="00766E7B">
        <w:rPr>
          <w:color w:val="1F497D" w:themeColor="text2"/>
        </w:rPr>
        <w:t xml:space="preserve">Water </w:t>
      </w:r>
      <w:r w:rsidR="002E7E62" w:rsidRPr="00766E7B">
        <w:rPr>
          <w:color w:val="1F497D" w:themeColor="text2"/>
        </w:rPr>
        <w:t>Sampling Methods</w:t>
      </w:r>
      <w:bookmarkEnd w:id="5"/>
    </w:p>
    <w:p w14:paraId="08F19B0C" w14:textId="77777777" w:rsidR="005A13B6" w:rsidRDefault="005A13B6" w:rsidP="00017C81"/>
    <w:p w14:paraId="2C21D128" w14:textId="1BD9247E" w:rsidR="00A60354" w:rsidRDefault="005A13B6" w:rsidP="00EF79AE">
      <w:pPr>
        <w:jc w:val="both"/>
      </w:pPr>
      <w:r>
        <w:t>Water quality samples were collected in sterilized bottles provi</w:t>
      </w:r>
      <w:r w:rsidR="006610A6">
        <w:t xml:space="preserve">ded by </w:t>
      </w:r>
      <w:r w:rsidR="00CD1A29">
        <w:t>Energy Laboratories Inc</w:t>
      </w:r>
      <w:r>
        <w:t xml:space="preserve">. </w:t>
      </w:r>
      <w:r w:rsidR="00130AF5">
        <w:t xml:space="preserve"> </w:t>
      </w:r>
      <w:r>
        <w:t>At the time of sample collection, each bottle and lid were triple-rinsed with ambient river water prior to collecting the final sample. Total nitrogen samples were collected in 250</w:t>
      </w:r>
      <w:r w:rsidR="00282AD6">
        <w:t xml:space="preserve"> mL</w:t>
      </w:r>
      <w:r>
        <w:t xml:space="preserve"> HDPE bottles and kept on ice until analyzed. Total phosphorus and inorganic nitrogen (nitrate and nitrite) </w:t>
      </w:r>
      <w:r w:rsidR="00282AD6">
        <w:t>samples were collected in 250 mL</w:t>
      </w:r>
      <w:r>
        <w:t xml:space="preserve"> HDPE bottles, preserved with sulfuric acid, and kept on ice until analyzed. Total suspended solids and total dissolved solids samples were collected in 1000</w:t>
      </w:r>
      <w:r w:rsidR="00282AD6">
        <w:t xml:space="preserve"> mL </w:t>
      </w:r>
      <w:r>
        <w:t xml:space="preserve">HDPE bottles and kept on ice until analyzed. </w:t>
      </w:r>
      <w:r w:rsidR="00350CC1">
        <w:t xml:space="preserve"> </w:t>
      </w:r>
      <w:r w:rsidR="00E42971">
        <w:t xml:space="preserve">All water samples were </w:t>
      </w:r>
      <w:r w:rsidR="006610A6">
        <w:t xml:space="preserve">submitted to </w:t>
      </w:r>
      <w:r w:rsidR="00CD1A29">
        <w:t>Energy Laboratories Inc.</w:t>
      </w:r>
      <w:r w:rsidR="00E42971">
        <w:t xml:space="preserve"> </w:t>
      </w:r>
      <w:r w:rsidR="00350CC1">
        <w:t xml:space="preserve">in Helena, MT </w:t>
      </w:r>
      <w:r w:rsidR="00E42971">
        <w:t>within 48 hours of collection.</w:t>
      </w:r>
    </w:p>
    <w:p w14:paraId="2861C8AB" w14:textId="744DD022" w:rsidR="00A60354" w:rsidRPr="00766E7B" w:rsidRDefault="00A60354" w:rsidP="00EF79AE">
      <w:pPr>
        <w:pStyle w:val="Heading2"/>
        <w:jc w:val="both"/>
        <w:rPr>
          <w:color w:val="1F497D" w:themeColor="text2"/>
        </w:rPr>
      </w:pPr>
      <w:bookmarkStart w:id="6" w:name="_Toc380156857"/>
      <w:r w:rsidRPr="00766E7B">
        <w:rPr>
          <w:color w:val="1F497D" w:themeColor="text2"/>
        </w:rPr>
        <w:lastRenderedPageBreak/>
        <w:t>2.4 Quality Assurance</w:t>
      </w:r>
      <w:r w:rsidR="00E42971" w:rsidRPr="00766E7B">
        <w:rPr>
          <w:color w:val="1F497D" w:themeColor="text2"/>
        </w:rPr>
        <w:t xml:space="preserve"> – Field Blanks </w:t>
      </w:r>
      <w:r w:rsidR="002E7E62" w:rsidRPr="00766E7B">
        <w:rPr>
          <w:color w:val="1F497D" w:themeColor="text2"/>
        </w:rPr>
        <w:t xml:space="preserve">and </w:t>
      </w:r>
      <w:r w:rsidR="00E42971" w:rsidRPr="00766E7B">
        <w:rPr>
          <w:color w:val="1F497D" w:themeColor="text2"/>
        </w:rPr>
        <w:t>Duplicates</w:t>
      </w:r>
      <w:bookmarkEnd w:id="6"/>
    </w:p>
    <w:p w14:paraId="4A4ADAA7" w14:textId="77777777" w:rsidR="00A60354" w:rsidRDefault="00A60354" w:rsidP="00EF79AE">
      <w:pPr>
        <w:jc w:val="both"/>
      </w:pPr>
    </w:p>
    <w:p w14:paraId="5594AE7E" w14:textId="4B03A611" w:rsidR="00A60354" w:rsidRDefault="00A60354" w:rsidP="00EF79AE">
      <w:pPr>
        <w:jc w:val="both"/>
      </w:pPr>
      <w:r>
        <w:t xml:space="preserve">During each seasonal sampling, one field duplicate and one field blank </w:t>
      </w:r>
      <w:r w:rsidR="006610A6">
        <w:t xml:space="preserve">set </w:t>
      </w:r>
      <w:r>
        <w:t xml:space="preserve">of samples were collected to ensure </w:t>
      </w:r>
      <w:r w:rsidR="006610A6">
        <w:t>the quality of the sampling procedure and the accuracy of the lab analysis</w:t>
      </w:r>
      <w:r>
        <w:t xml:space="preserve">. </w:t>
      </w:r>
      <w:r w:rsidR="00501352">
        <w:t xml:space="preserve"> </w:t>
      </w:r>
      <w:r>
        <w:t xml:space="preserve">Field duplicates consist of an extra set of sample </w:t>
      </w:r>
      <w:r w:rsidR="00E42971">
        <w:t>bottles</w:t>
      </w:r>
      <w:r>
        <w:t xml:space="preserve"> filled with the same water from the same sampling site. Field duplicates were collected, handled, and stored in the same way as the routine samples for laboratory shipment. </w:t>
      </w:r>
      <w:r w:rsidR="00EF79AE">
        <w:t xml:space="preserve"> </w:t>
      </w:r>
      <w:r>
        <w:t xml:space="preserve">In theory, </w:t>
      </w:r>
      <w:r w:rsidR="00282AD6">
        <w:t>a duplicate sample</w:t>
      </w:r>
      <w:r>
        <w:t xml:space="preserve"> should yield results identical </w:t>
      </w:r>
      <w:r w:rsidR="00E42971">
        <w:t xml:space="preserve">to </w:t>
      </w:r>
      <w:r>
        <w:t>the other sample taken at t</w:t>
      </w:r>
      <w:r w:rsidR="00E42971">
        <w:t>he same site at the same time. Collecting and a</w:t>
      </w:r>
      <w:r>
        <w:t>nalyzing duplicate samples ens</w:t>
      </w:r>
      <w:r w:rsidR="00E42971">
        <w:t xml:space="preserve">ures </w:t>
      </w:r>
      <w:r w:rsidR="006610A6">
        <w:t xml:space="preserve">that </w:t>
      </w:r>
      <w:r w:rsidR="00E42971">
        <w:t>the sampling and analysis process is consistently accurate.</w:t>
      </w:r>
    </w:p>
    <w:p w14:paraId="6E26CC04" w14:textId="671D18F5" w:rsidR="00A60354" w:rsidRDefault="00A60354" w:rsidP="00EF79AE">
      <w:pPr>
        <w:jc w:val="both"/>
      </w:pPr>
      <w:r>
        <w:t>Field blanks</w:t>
      </w:r>
      <w:r w:rsidR="00E42971">
        <w:t xml:space="preserve"> consist of an extra set of sample bottles filled with deionized (DI) water and transported with the </w:t>
      </w:r>
      <w:r w:rsidR="00C40690">
        <w:t>other</w:t>
      </w:r>
      <w:r w:rsidR="00E42971">
        <w:t xml:space="preserve"> samples in the</w:t>
      </w:r>
      <w:r w:rsidR="006610A6">
        <w:t xml:space="preserve"> field. Field b</w:t>
      </w:r>
      <w:r w:rsidR="00E42971">
        <w:t>lanks were prepared in the field at the same time as the routine samples and handled and analyzed in the same way as the routine samples. In theory, field blank samples should be clean of all contaminants. Collecting and analyzing field blank samples ensures that the sampling and analysis processes are free of contaminants.</w:t>
      </w:r>
    </w:p>
    <w:p w14:paraId="6CB4F9CE" w14:textId="77777777" w:rsidR="00A60354" w:rsidRDefault="00A60354" w:rsidP="00EF79AE">
      <w:pPr>
        <w:jc w:val="both"/>
      </w:pPr>
    </w:p>
    <w:p w14:paraId="15CD8CD1" w14:textId="2254C3C5" w:rsidR="002C3287" w:rsidRPr="00847441" w:rsidRDefault="00E42971" w:rsidP="00EF79AE">
      <w:pPr>
        <w:pStyle w:val="Heading2"/>
        <w:jc w:val="both"/>
        <w:rPr>
          <w:color w:val="1F497D" w:themeColor="text2"/>
        </w:rPr>
      </w:pPr>
      <w:bookmarkStart w:id="7" w:name="_Toc380156858"/>
      <w:r w:rsidRPr="00847441">
        <w:rPr>
          <w:color w:val="1F497D" w:themeColor="text2"/>
        </w:rPr>
        <w:t xml:space="preserve">2.5 </w:t>
      </w:r>
      <w:r w:rsidR="002E7E62" w:rsidRPr="00847441">
        <w:rPr>
          <w:color w:val="1F497D" w:themeColor="text2"/>
        </w:rPr>
        <w:t xml:space="preserve">Water Quality </w:t>
      </w:r>
      <w:r w:rsidR="00017C81" w:rsidRPr="00847441">
        <w:rPr>
          <w:color w:val="1F497D" w:themeColor="text2"/>
        </w:rPr>
        <w:t>Analysis</w:t>
      </w:r>
      <w:bookmarkEnd w:id="7"/>
    </w:p>
    <w:p w14:paraId="2FC2977E" w14:textId="77777777" w:rsidR="00207C49" w:rsidRDefault="00207C49" w:rsidP="00EF79AE">
      <w:pPr>
        <w:jc w:val="both"/>
      </w:pPr>
    </w:p>
    <w:p w14:paraId="6D825772" w14:textId="00695355" w:rsidR="002E7E62" w:rsidRDefault="00CD1A29" w:rsidP="00EF79AE">
      <w:pPr>
        <w:jc w:val="both"/>
      </w:pPr>
      <w:r>
        <w:t>Energy Laboratories Inc.</w:t>
      </w:r>
      <w:r w:rsidR="00E42971">
        <w:t xml:space="preserve"> in Helena, MT analyzed all w</w:t>
      </w:r>
      <w:r w:rsidR="00207C49">
        <w:t>ate</w:t>
      </w:r>
      <w:r w:rsidR="006610A6">
        <w:t>r quality</w:t>
      </w:r>
      <w:r w:rsidR="00350CC1">
        <w:t xml:space="preserve"> samples</w:t>
      </w:r>
      <w:r w:rsidR="006610A6">
        <w:t xml:space="preserve">. </w:t>
      </w:r>
      <w:r>
        <w:t>Energy Laboratories Inc.</w:t>
      </w:r>
      <w:r w:rsidR="00E42971">
        <w:t xml:space="preserve"> routinely processes </w:t>
      </w:r>
      <w:r w:rsidR="00350CC1">
        <w:t xml:space="preserve">1,000’s of WQ </w:t>
      </w:r>
      <w:r w:rsidR="00E42971">
        <w:t xml:space="preserve">samples for </w:t>
      </w:r>
      <w:r w:rsidR="009F5EDF">
        <w:t>MDEQ</w:t>
      </w:r>
      <w:r w:rsidR="00350CC1">
        <w:t>, USEPA and other agencies,</w:t>
      </w:r>
      <w:r w:rsidR="00E42971">
        <w:t xml:space="preserve"> and has been proven to pro</w:t>
      </w:r>
      <w:r w:rsidR="00350CC1">
        <w:t>vide laboratory</w:t>
      </w:r>
      <w:r w:rsidR="00E42971">
        <w:t xml:space="preserve"> data of very high accuracy and consistency.</w:t>
      </w:r>
    </w:p>
    <w:p w14:paraId="78C05EC2" w14:textId="372192C6" w:rsidR="007F054D" w:rsidRPr="00E920CB" w:rsidRDefault="00E42971" w:rsidP="00EF79AE">
      <w:pPr>
        <w:pStyle w:val="Heading1"/>
        <w:jc w:val="both"/>
      </w:pPr>
      <w:bookmarkStart w:id="8" w:name="_Toc380156859"/>
      <w:r w:rsidRPr="00E920CB">
        <w:t xml:space="preserve">3.0 </w:t>
      </w:r>
      <w:r w:rsidR="00326A72" w:rsidRPr="00E920CB">
        <w:t>Results</w:t>
      </w:r>
      <w:r w:rsidR="00492ABD">
        <w:t xml:space="preserve"> for 201</w:t>
      </w:r>
      <w:bookmarkEnd w:id="8"/>
      <w:r w:rsidR="00EF79AE">
        <w:t>8 and 2019</w:t>
      </w:r>
    </w:p>
    <w:p w14:paraId="070028F3" w14:textId="77777777" w:rsidR="007F054D" w:rsidRDefault="007F054D" w:rsidP="00EF79AE">
      <w:pPr>
        <w:jc w:val="both"/>
        <w:rPr>
          <w:b/>
        </w:rPr>
      </w:pPr>
    </w:p>
    <w:p w14:paraId="05F4F032" w14:textId="53155E76" w:rsidR="00071E2C" w:rsidRDefault="00E920CB" w:rsidP="00EF79AE">
      <w:pPr>
        <w:jc w:val="both"/>
      </w:pPr>
      <w:r>
        <w:t xml:space="preserve">Whenever possible, results were interpreted relative to established </w:t>
      </w:r>
      <w:r w:rsidR="009F5EDF">
        <w:t>MDEQ</w:t>
      </w:r>
      <w:r>
        <w:t xml:space="preserve"> numeric standards</w:t>
      </w:r>
      <w:r w:rsidR="005516E8">
        <w:t xml:space="preserve"> within the same ecoregion</w:t>
      </w:r>
      <w:r>
        <w:t xml:space="preserve">. </w:t>
      </w:r>
      <w:r w:rsidR="005516E8">
        <w:t xml:space="preserve"> </w:t>
      </w:r>
      <w:r w:rsidR="009F5EDF">
        <w:t>MDEQ</w:t>
      </w:r>
      <w:r>
        <w:t xml:space="preserve"> established these numeric water quality criteria </w:t>
      </w:r>
      <w:r w:rsidR="005516E8">
        <w:t>to</w:t>
      </w:r>
      <w:r>
        <w:t xml:space="preserve"> control </w:t>
      </w:r>
      <w:r w:rsidR="00483A3A">
        <w:t xml:space="preserve">limits on </w:t>
      </w:r>
      <w:r>
        <w:t>poll</w:t>
      </w:r>
      <w:r w:rsidR="001061F8">
        <w:t>utant levels</w:t>
      </w:r>
      <w:r>
        <w:t xml:space="preserve"> in Montana’s </w:t>
      </w:r>
      <w:r w:rsidR="005516E8">
        <w:t xml:space="preserve">wadable </w:t>
      </w:r>
      <w:r>
        <w:t>rivers</w:t>
      </w:r>
      <w:r w:rsidR="005516E8">
        <w:t xml:space="preserve"> </w:t>
      </w:r>
      <w:r>
        <w:t>and streams.</w:t>
      </w:r>
      <w:r w:rsidR="002D46C5">
        <w:t xml:space="preserve"> </w:t>
      </w:r>
      <w:r w:rsidR="005516E8">
        <w:t xml:space="preserve"> </w:t>
      </w:r>
      <w:r w:rsidR="001061F8">
        <w:t>N</w:t>
      </w:r>
      <w:r w:rsidR="005516E8" w:rsidRPr="005516E8">
        <w:t>umeric nutrient criteria have not yet been developed for the Missouri River, although DEQ is currently developing these standards.</w:t>
      </w:r>
      <w:r w:rsidR="001061F8">
        <w:t xml:space="preserve"> </w:t>
      </w:r>
      <w:r>
        <w:t>Circular 12A (</w:t>
      </w:r>
      <w:r w:rsidR="006610A6">
        <w:t>M</w:t>
      </w:r>
      <w:r>
        <w:t>DEQ 2014) provide</w:t>
      </w:r>
      <w:r w:rsidR="00483A3A">
        <w:t>s</w:t>
      </w:r>
      <w:r>
        <w:t xml:space="preserve"> b</w:t>
      </w:r>
      <w:r w:rsidR="005B51F2">
        <w:t>ase numeric nutrient standards</w:t>
      </w:r>
      <w:r w:rsidR="00D349A1">
        <w:t xml:space="preserve"> of 0.3 mg/L</w:t>
      </w:r>
      <w:r w:rsidR="005B51F2">
        <w:t xml:space="preserve"> for total nitrogen</w:t>
      </w:r>
      <w:r w:rsidR="00D349A1">
        <w:t xml:space="preserve"> </w:t>
      </w:r>
      <w:r w:rsidR="00C7580D">
        <w:t xml:space="preserve">(TN) </w:t>
      </w:r>
      <w:r w:rsidR="00D349A1">
        <w:t>concentrations</w:t>
      </w:r>
      <w:r w:rsidR="005B51F2">
        <w:t xml:space="preserve"> and </w:t>
      </w:r>
      <w:r w:rsidR="00D349A1">
        <w:t>0.03 mg/L for total</w:t>
      </w:r>
      <w:r w:rsidR="005B51F2">
        <w:t xml:space="preserve"> phosphorus</w:t>
      </w:r>
      <w:r w:rsidR="00282AD6">
        <w:t xml:space="preserve"> </w:t>
      </w:r>
      <w:r w:rsidR="00C7580D">
        <w:t xml:space="preserve">(TP) </w:t>
      </w:r>
      <w:r w:rsidR="00282AD6">
        <w:t>concentrations</w:t>
      </w:r>
      <w:r w:rsidR="005B51F2">
        <w:t xml:space="preserve">. </w:t>
      </w:r>
      <w:r w:rsidR="001061F8">
        <w:t xml:space="preserve"> </w:t>
      </w:r>
      <w:r w:rsidR="005B51F2">
        <w:t xml:space="preserve">The screening value </w:t>
      </w:r>
      <w:r w:rsidR="00D349A1">
        <w:t xml:space="preserve">of 0.1 mg/L </w:t>
      </w:r>
      <w:r w:rsidR="005B51F2">
        <w:t xml:space="preserve">for inorganic nitrogen </w:t>
      </w:r>
      <w:r w:rsidR="00282AD6">
        <w:t xml:space="preserve">concentrations </w:t>
      </w:r>
      <w:r w:rsidR="005B51F2">
        <w:t>was provided via personal communication with MDEQ</w:t>
      </w:r>
      <w:r w:rsidR="00282AD6">
        <w:t xml:space="preserve"> staff</w:t>
      </w:r>
      <w:r w:rsidR="005B51F2">
        <w:t>.</w:t>
      </w:r>
      <w:r w:rsidR="00C64663">
        <w:t xml:space="preserve"> </w:t>
      </w:r>
      <w:r w:rsidR="00385653">
        <w:t xml:space="preserve"> S</w:t>
      </w:r>
      <w:r w:rsidR="00F864D6">
        <w:t xml:space="preserve">creening values and numeric nutrient standards are represented as horizontal lines on the graphs. </w:t>
      </w:r>
      <w:r w:rsidR="00EF3BB9">
        <w:t xml:space="preserve"> </w:t>
      </w:r>
      <w:r w:rsidR="00C64663">
        <w:t>A</w:t>
      </w:r>
      <w:r w:rsidR="00385653">
        <w:t xml:space="preserve"> </w:t>
      </w:r>
      <w:r w:rsidR="00C64663">
        <w:t xml:space="preserve">table of </w:t>
      </w:r>
      <w:r w:rsidR="00F864D6">
        <w:t>all 2016</w:t>
      </w:r>
      <w:r w:rsidR="00C7580D">
        <w:t>-</w:t>
      </w:r>
      <w:r w:rsidR="00F864D6">
        <w:t>201</w:t>
      </w:r>
      <w:r w:rsidR="00C7580D">
        <w:t>9</w:t>
      </w:r>
      <w:r w:rsidR="00F864D6">
        <w:t xml:space="preserve"> </w:t>
      </w:r>
      <w:r w:rsidR="002D46C5">
        <w:t xml:space="preserve">WQ </w:t>
      </w:r>
      <w:r w:rsidR="00C64663">
        <w:t xml:space="preserve">results </w:t>
      </w:r>
      <w:r w:rsidR="002D46C5">
        <w:t>is available</w:t>
      </w:r>
      <w:r w:rsidR="00C64663">
        <w:t xml:space="preserve"> in Appendix A.</w:t>
      </w:r>
    </w:p>
    <w:p w14:paraId="79209A7F" w14:textId="77777777" w:rsidR="00F864D6" w:rsidRPr="00071E2C" w:rsidRDefault="00F864D6" w:rsidP="00071E2C"/>
    <w:p w14:paraId="2ADA623F" w14:textId="4FE79094" w:rsidR="005B51F2" w:rsidRPr="00847441" w:rsidRDefault="005B51F2" w:rsidP="00492ABD">
      <w:pPr>
        <w:pStyle w:val="Heading2"/>
        <w:rPr>
          <w:color w:val="1F497D" w:themeColor="text2"/>
        </w:rPr>
      </w:pPr>
      <w:bookmarkStart w:id="9" w:name="_Toc380156860"/>
      <w:r w:rsidRPr="00847441">
        <w:rPr>
          <w:color w:val="1F497D" w:themeColor="text2"/>
        </w:rPr>
        <w:t>3.1 Total Dissolved Solids</w:t>
      </w:r>
      <w:bookmarkEnd w:id="9"/>
    </w:p>
    <w:p w14:paraId="07E90AF1" w14:textId="77777777" w:rsidR="00282AD6" w:rsidRPr="00282AD6" w:rsidRDefault="00282AD6" w:rsidP="00282AD6"/>
    <w:p w14:paraId="755D896E" w14:textId="79BE797B" w:rsidR="00F37F94" w:rsidRPr="00847441" w:rsidRDefault="00EF3BB9" w:rsidP="00766E7B">
      <w:pPr>
        <w:jc w:val="both"/>
      </w:pPr>
      <w:r>
        <w:t xml:space="preserve">In 2018, Total Dissolved </w:t>
      </w:r>
      <w:r w:rsidR="00766E7B">
        <w:t>S</w:t>
      </w:r>
      <w:r>
        <w:t>olid (TDS) concentrations ranged</w:t>
      </w:r>
      <w:r w:rsidR="00766E7B">
        <w:t xml:space="preserve"> from</w:t>
      </w:r>
      <w:r>
        <w:t xml:space="preserve"> 166 and 208 mg/L and averaged 188 mg/L across all sites and seasons; </w:t>
      </w:r>
      <w:r w:rsidR="006C4DEB">
        <w:t xml:space="preserve">no distinct spatial trends </w:t>
      </w:r>
      <w:r w:rsidR="00766E7B">
        <w:t>we</w:t>
      </w:r>
      <w:r w:rsidR="006C4DEB">
        <w:t>re noted, but</w:t>
      </w:r>
      <w:r>
        <w:t xml:space="preserve"> </w:t>
      </w:r>
      <w:r w:rsidR="006C4DEB">
        <w:t xml:space="preserve">seasonally, </w:t>
      </w:r>
      <w:r w:rsidR="00F37F94">
        <w:t>June 2018</w:t>
      </w:r>
      <w:r w:rsidR="00385653">
        <w:t xml:space="preserve"> samples</w:t>
      </w:r>
      <w:r w:rsidR="00F37F94">
        <w:t xml:space="preserve"> had the highest levels, </w:t>
      </w:r>
      <w:r w:rsidR="006C4DEB">
        <w:t>summer samples had the lowest TDS</w:t>
      </w:r>
      <w:r w:rsidR="00F37F94">
        <w:t>,</w:t>
      </w:r>
      <w:r w:rsidR="006C4DEB">
        <w:t xml:space="preserve"> and at sites located below tributaries</w:t>
      </w:r>
      <w:r w:rsidR="00385653">
        <w:t xml:space="preserve"> (MO_LLPC_DS, MO_DEAR_DS)</w:t>
      </w:r>
      <w:r w:rsidR="006C4DEB">
        <w:t xml:space="preserve">, fall reported the highest levels </w:t>
      </w:r>
      <w:r>
        <w:t>(</w:t>
      </w:r>
      <w:r w:rsidRPr="00F61DF9">
        <w:rPr>
          <w:b/>
          <w:bCs/>
        </w:rPr>
        <w:t xml:space="preserve">Figure </w:t>
      </w:r>
      <w:r w:rsidR="00F61DF9" w:rsidRPr="00F61DF9">
        <w:rPr>
          <w:b/>
          <w:bCs/>
        </w:rPr>
        <w:t>3</w:t>
      </w:r>
      <w:r>
        <w:t xml:space="preserve">).  </w:t>
      </w:r>
      <w:r w:rsidR="00F37F94">
        <w:t xml:space="preserve">In 2019, TDS concentrations ranged </w:t>
      </w:r>
      <w:r w:rsidR="00F37F94">
        <w:lastRenderedPageBreak/>
        <w:t xml:space="preserve">between 203 and 217 mg/L and averaged 209 mg/L across all sites; </w:t>
      </w:r>
      <w:r w:rsidR="00385653">
        <w:t xml:space="preserve">again, the </w:t>
      </w:r>
      <w:r w:rsidR="00F37F94">
        <w:t>highest levels were reported at sites below the major tributaries in the Fall (</w:t>
      </w:r>
      <w:r w:rsidR="00F37F94" w:rsidRPr="0011000D">
        <w:rPr>
          <w:b/>
          <w:bCs/>
        </w:rPr>
        <w:t xml:space="preserve">Figure </w:t>
      </w:r>
      <w:r w:rsidR="0011000D" w:rsidRPr="0011000D">
        <w:rPr>
          <w:b/>
          <w:bCs/>
        </w:rPr>
        <w:t>3</w:t>
      </w:r>
      <w:r w:rsidR="00F37F94">
        <w:t>).</w:t>
      </w:r>
    </w:p>
    <w:p w14:paraId="260A667A" w14:textId="206E39F9" w:rsidR="00EF3BB9" w:rsidRDefault="00EF3BB9" w:rsidP="006C4DEB">
      <w:pPr>
        <w:jc w:val="both"/>
      </w:pPr>
    </w:p>
    <w:p w14:paraId="45328B34" w14:textId="11864431" w:rsidR="00EF3BB9" w:rsidRDefault="00EF3BB9" w:rsidP="006C4DEB">
      <w:pPr>
        <w:ind w:left="720" w:hanging="270"/>
      </w:pPr>
      <w:r w:rsidRPr="00FB33C7">
        <w:rPr>
          <w:b/>
          <w:bCs/>
          <w:i/>
          <w:iCs/>
        </w:rPr>
        <w:t xml:space="preserve">Figure </w:t>
      </w:r>
      <w:r w:rsidR="00AD7C37">
        <w:rPr>
          <w:b/>
          <w:bCs/>
          <w:i/>
          <w:iCs/>
        </w:rPr>
        <w:t>3</w:t>
      </w:r>
      <w:r w:rsidRPr="00FB33C7">
        <w:rPr>
          <w:b/>
          <w:bCs/>
          <w:i/>
          <w:iCs/>
        </w:rPr>
        <w:t>.</w:t>
      </w:r>
      <w:r w:rsidRPr="00FB33C7">
        <w:rPr>
          <w:i/>
          <w:iCs/>
        </w:rPr>
        <w:t xml:space="preserve"> Total</w:t>
      </w:r>
      <w:r>
        <w:rPr>
          <w:i/>
          <w:iCs/>
        </w:rPr>
        <w:t xml:space="preserve"> Dissolved Solid levels</w:t>
      </w:r>
      <w:r w:rsidRPr="00FB33C7">
        <w:rPr>
          <w:i/>
          <w:iCs/>
        </w:rPr>
        <w:t xml:space="preserve"> across the UMOWA sites in 2018</w:t>
      </w:r>
      <w:r w:rsidR="006C4DEB">
        <w:rPr>
          <w:i/>
          <w:iCs/>
        </w:rPr>
        <w:t xml:space="preserve"> and 2019</w:t>
      </w:r>
      <w:r>
        <w:t>.</w:t>
      </w:r>
    </w:p>
    <w:p w14:paraId="6595F706" w14:textId="2649B4D0" w:rsidR="00EF3BB9" w:rsidRDefault="00F37F94" w:rsidP="005B51F2">
      <w:r>
        <w:rPr>
          <w:noProof/>
        </w:rPr>
        <w:drawing>
          <wp:anchor distT="0" distB="0" distL="114300" distR="114300" simplePos="0" relativeHeight="251671552" behindDoc="0" locked="0" layoutInCell="1" allowOverlap="1" wp14:anchorId="33C0B5B2" wp14:editId="21C953F3">
            <wp:simplePos x="0" y="0"/>
            <wp:positionH relativeFrom="margin">
              <wp:align>center</wp:align>
            </wp:positionH>
            <wp:positionV relativeFrom="paragraph">
              <wp:posOffset>77470</wp:posOffset>
            </wp:positionV>
            <wp:extent cx="4633914" cy="3143250"/>
            <wp:effectExtent l="0" t="0" r="14605" b="0"/>
            <wp:wrapSquare wrapText="bothSides"/>
            <wp:docPr id="21" name="Chart 21">
              <a:extLst xmlns:a="http://schemas.openxmlformats.org/drawingml/2006/main">
                <a:ext uri="{FF2B5EF4-FFF2-40B4-BE49-F238E27FC236}">
                  <a16:creationId xmlns:a16="http://schemas.microsoft.com/office/drawing/2014/main" id="{97AAD93B-9831-43F8-AD2C-F1300085307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3A545BB0" w14:textId="4B97FC88" w:rsidR="005B51F2" w:rsidRPr="007F054D" w:rsidRDefault="005B51F2" w:rsidP="00071E2C">
      <w:pPr>
        <w:rPr>
          <w:b/>
        </w:rPr>
      </w:pPr>
    </w:p>
    <w:p w14:paraId="514E50F1" w14:textId="09B74912" w:rsidR="005B51F2" w:rsidRDefault="005B51F2" w:rsidP="005B51F2">
      <w:pPr>
        <w:ind w:left="720"/>
      </w:pPr>
    </w:p>
    <w:p w14:paraId="2A11CCC2" w14:textId="24B80154" w:rsidR="00282AD6" w:rsidRDefault="00282AD6" w:rsidP="00492ABD">
      <w:pPr>
        <w:pStyle w:val="Heading2"/>
      </w:pPr>
    </w:p>
    <w:p w14:paraId="6108F5D5" w14:textId="210E3C95" w:rsidR="00847441" w:rsidRDefault="00847441" w:rsidP="00847441"/>
    <w:p w14:paraId="15C80F3B" w14:textId="180D407E" w:rsidR="00EF3BB9" w:rsidRDefault="00EF3BB9" w:rsidP="00847441"/>
    <w:p w14:paraId="245D7188" w14:textId="28003FC5" w:rsidR="00EF3BB9" w:rsidRDefault="00EF3BB9" w:rsidP="00847441"/>
    <w:p w14:paraId="12861E66" w14:textId="03A87A06" w:rsidR="00EF3BB9" w:rsidRDefault="00EF3BB9" w:rsidP="00847441"/>
    <w:p w14:paraId="6588DC2E" w14:textId="4A7A542E" w:rsidR="00EF3BB9" w:rsidRDefault="00EF3BB9" w:rsidP="00847441"/>
    <w:p w14:paraId="395603CD" w14:textId="394EFCEC" w:rsidR="00EF3BB9" w:rsidRDefault="00EF3BB9" w:rsidP="00847441"/>
    <w:p w14:paraId="132C524B" w14:textId="7325E370" w:rsidR="00EF3BB9" w:rsidRDefault="00EF3BB9" w:rsidP="00847441"/>
    <w:p w14:paraId="0F9322D2" w14:textId="75807645" w:rsidR="00EF3BB9" w:rsidRDefault="00EF3BB9" w:rsidP="00847441"/>
    <w:p w14:paraId="5C4618DF" w14:textId="3F0E711A" w:rsidR="00EF3BB9" w:rsidRDefault="00EF3BB9" w:rsidP="00847441"/>
    <w:p w14:paraId="2815B642" w14:textId="28BA256A" w:rsidR="00EF3BB9" w:rsidRDefault="00EF3BB9" w:rsidP="00847441"/>
    <w:p w14:paraId="083A1ED1" w14:textId="7F43DF00" w:rsidR="00EF3BB9" w:rsidRDefault="00EF3BB9" w:rsidP="00847441"/>
    <w:p w14:paraId="69CEEDC5" w14:textId="7499BB83" w:rsidR="00EF3BB9" w:rsidRDefault="00EF3BB9" w:rsidP="00847441"/>
    <w:p w14:paraId="48BB8CE5" w14:textId="690CC6E9" w:rsidR="00EF3BB9" w:rsidRDefault="00EF3BB9" w:rsidP="00847441"/>
    <w:p w14:paraId="2A37C273" w14:textId="15D84FA6" w:rsidR="00EF3BB9" w:rsidRDefault="00EF3BB9" w:rsidP="00847441"/>
    <w:p w14:paraId="209D6DB6" w14:textId="1702579B" w:rsidR="00CE13AC" w:rsidRPr="00847441" w:rsidRDefault="00E42971" w:rsidP="00492ABD">
      <w:pPr>
        <w:pStyle w:val="Heading2"/>
        <w:rPr>
          <w:color w:val="1F497D" w:themeColor="text2"/>
        </w:rPr>
      </w:pPr>
      <w:bookmarkStart w:id="10" w:name="_Toc380156861"/>
      <w:r w:rsidRPr="00847441">
        <w:rPr>
          <w:color w:val="1F497D" w:themeColor="text2"/>
        </w:rPr>
        <w:t>3.</w:t>
      </w:r>
      <w:r w:rsidR="005B51F2" w:rsidRPr="00847441">
        <w:rPr>
          <w:color w:val="1F497D" w:themeColor="text2"/>
        </w:rPr>
        <w:t>2</w:t>
      </w:r>
      <w:r w:rsidR="00AA5672" w:rsidRPr="00847441">
        <w:rPr>
          <w:color w:val="1F497D" w:themeColor="text2"/>
        </w:rPr>
        <w:t xml:space="preserve"> </w:t>
      </w:r>
      <w:r w:rsidR="007F054D" w:rsidRPr="00847441">
        <w:rPr>
          <w:color w:val="1F497D" w:themeColor="text2"/>
        </w:rPr>
        <w:t>Total Suspended Solids</w:t>
      </w:r>
      <w:bookmarkEnd w:id="10"/>
    </w:p>
    <w:p w14:paraId="0461631A" w14:textId="4CA784C9" w:rsidR="00DF57F9" w:rsidRPr="001C73D4" w:rsidRDefault="001C73D4" w:rsidP="00D90444">
      <w:pPr>
        <w:jc w:val="both"/>
        <w:rPr>
          <w:b/>
          <w:bCs/>
        </w:rPr>
      </w:pPr>
      <w:r>
        <w:t xml:space="preserve">In 2018, Total suspended solids (TSS) concentrations ranged between 0.8 and 10 mg/L and averaged 3.4 mg/ L across all sites and seasons (Figure </w:t>
      </w:r>
      <w:r w:rsidR="00AD7C37">
        <w:t>4</w:t>
      </w:r>
      <w:r>
        <w:t>)</w:t>
      </w:r>
      <w:r w:rsidR="00071E2C">
        <w:t xml:space="preserve">. </w:t>
      </w:r>
      <w:r>
        <w:t xml:space="preserve"> In 2019, TSS concentrations ranged between 0.8 and 2.0 mg/L and averaged 1.4 mg/ L across all sites in the fall</w:t>
      </w:r>
      <w:r w:rsidR="00AD7C37">
        <w:t xml:space="preserve">.  Not surprisingly, </w:t>
      </w:r>
      <w:r w:rsidR="00D90444">
        <w:t xml:space="preserve">the </w:t>
      </w:r>
      <w:r w:rsidR="00AD7C37">
        <w:t xml:space="preserve">highest </w:t>
      </w:r>
      <w:r w:rsidR="00D90444">
        <w:t xml:space="preserve">TSS </w:t>
      </w:r>
      <w:r w:rsidR="00AD7C37">
        <w:t>values in 2018 were reported</w:t>
      </w:r>
      <w:r w:rsidR="00D90444">
        <w:t xml:space="preserve"> from</w:t>
      </w:r>
      <w:r w:rsidR="00AD7C37">
        <w:t xml:space="preserve"> the samples taken during the high</w:t>
      </w:r>
      <w:r w:rsidR="00766E7B">
        <w:t>-</w:t>
      </w:r>
      <w:r w:rsidR="00AD7C37">
        <w:t>flow June period (</w:t>
      </w:r>
      <w:r w:rsidR="00AD7C37" w:rsidRPr="00766E7B">
        <w:rPr>
          <w:b/>
          <w:bCs/>
        </w:rPr>
        <w:t xml:space="preserve">Figure </w:t>
      </w:r>
      <w:r w:rsidR="0060235D">
        <w:rPr>
          <w:b/>
          <w:bCs/>
        </w:rPr>
        <w:t>2</w:t>
      </w:r>
      <w:r w:rsidR="00766E7B">
        <w:rPr>
          <w:b/>
          <w:bCs/>
        </w:rPr>
        <w:t xml:space="preserve"> &amp; </w:t>
      </w:r>
      <w:r w:rsidR="00AD7C37" w:rsidRPr="00766E7B">
        <w:rPr>
          <w:b/>
          <w:bCs/>
        </w:rPr>
        <w:t>4</w:t>
      </w:r>
      <w:r w:rsidR="00AD7C37">
        <w:t>).</w:t>
      </w:r>
    </w:p>
    <w:p w14:paraId="581914CD" w14:textId="17F085B2" w:rsidR="00DF57F9" w:rsidRDefault="00DF57F9" w:rsidP="007F054D"/>
    <w:p w14:paraId="2ADD3E42" w14:textId="3B4A283B" w:rsidR="00AD7C37" w:rsidRDefault="00AD7C37" w:rsidP="00AD7C37">
      <w:pPr>
        <w:ind w:left="720" w:hanging="270"/>
      </w:pPr>
      <w:r w:rsidRPr="00FB33C7">
        <w:rPr>
          <w:b/>
          <w:bCs/>
          <w:i/>
          <w:iCs/>
        </w:rPr>
        <w:t xml:space="preserve">Figure </w:t>
      </w:r>
      <w:r>
        <w:rPr>
          <w:b/>
          <w:bCs/>
          <w:i/>
          <w:iCs/>
        </w:rPr>
        <w:t>4</w:t>
      </w:r>
      <w:r w:rsidRPr="00FB33C7">
        <w:rPr>
          <w:b/>
          <w:bCs/>
          <w:i/>
          <w:iCs/>
        </w:rPr>
        <w:t>.</w:t>
      </w:r>
      <w:r w:rsidRPr="00FB33C7">
        <w:rPr>
          <w:i/>
          <w:iCs/>
        </w:rPr>
        <w:t xml:space="preserve"> Total</w:t>
      </w:r>
      <w:r>
        <w:rPr>
          <w:i/>
          <w:iCs/>
        </w:rPr>
        <w:t xml:space="preserve"> Suspended Solids (TSS)</w:t>
      </w:r>
      <w:r w:rsidRPr="00FB33C7">
        <w:rPr>
          <w:i/>
          <w:iCs/>
        </w:rPr>
        <w:t>across the UMOWA sites in 2018</w:t>
      </w:r>
      <w:r>
        <w:rPr>
          <w:i/>
          <w:iCs/>
        </w:rPr>
        <w:t xml:space="preserve"> and 2019</w:t>
      </w:r>
      <w:r>
        <w:t>.</w:t>
      </w:r>
    </w:p>
    <w:p w14:paraId="6436F18B" w14:textId="7E94CF26" w:rsidR="00AD7C37" w:rsidRPr="00DF57F9" w:rsidRDefault="00AD7C37" w:rsidP="007F054D">
      <w:r>
        <w:rPr>
          <w:noProof/>
        </w:rPr>
        <w:drawing>
          <wp:anchor distT="0" distB="0" distL="114300" distR="114300" simplePos="0" relativeHeight="251672576" behindDoc="0" locked="0" layoutInCell="1" allowOverlap="1" wp14:anchorId="2668F92C" wp14:editId="02F28024">
            <wp:simplePos x="0" y="0"/>
            <wp:positionH relativeFrom="margin">
              <wp:align>center</wp:align>
            </wp:positionH>
            <wp:positionV relativeFrom="paragraph">
              <wp:posOffset>84455</wp:posOffset>
            </wp:positionV>
            <wp:extent cx="4624070" cy="2847975"/>
            <wp:effectExtent l="0" t="0" r="5080" b="9525"/>
            <wp:wrapSquare wrapText="bothSides"/>
            <wp:docPr id="22" name="Chart 22">
              <a:extLst xmlns:a="http://schemas.openxmlformats.org/drawingml/2006/main">
                <a:ext uri="{FF2B5EF4-FFF2-40B4-BE49-F238E27FC236}">
                  <a16:creationId xmlns:a16="http://schemas.microsoft.com/office/drawing/2014/main" id="{6B0DCD61-93BA-4C13-8437-9B30E727E8C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p>
    <w:p w14:paraId="38EB8653" w14:textId="1ABC6F3C" w:rsidR="00AB395F" w:rsidRDefault="00AB395F" w:rsidP="007F054D">
      <w:pPr>
        <w:ind w:left="720"/>
        <w:rPr>
          <w:b/>
        </w:rPr>
      </w:pPr>
    </w:p>
    <w:p w14:paraId="4F3610B0" w14:textId="775BD2FA" w:rsidR="002E7E62" w:rsidRDefault="002E7E62" w:rsidP="007F054D">
      <w:pPr>
        <w:rPr>
          <w:b/>
        </w:rPr>
      </w:pPr>
    </w:p>
    <w:p w14:paraId="2B1E4C4D" w14:textId="0ECE22E4" w:rsidR="005522E1" w:rsidRPr="00847441" w:rsidRDefault="00085042" w:rsidP="00CE13AC">
      <w:pPr>
        <w:pStyle w:val="Heading2"/>
        <w:rPr>
          <w:color w:val="1F497D" w:themeColor="text2"/>
        </w:rPr>
      </w:pPr>
      <w:bookmarkStart w:id="11" w:name="_Toc348101941"/>
      <w:bookmarkStart w:id="12" w:name="_Toc380156862"/>
      <w:r w:rsidRPr="00847441">
        <w:rPr>
          <w:color w:val="1F497D" w:themeColor="text2"/>
        </w:rPr>
        <w:lastRenderedPageBreak/>
        <w:t xml:space="preserve">3.3 </w:t>
      </w:r>
      <w:bookmarkEnd w:id="11"/>
      <w:r w:rsidR="005B51F2" w:rsidRPr="00847441">
        <w:rPr>
          <w:color w:val="1F497D" w:themeColor="text2"/>
        </w:rPr>
        <w:t>Inorganic Nitrogen</w:t>
      </w:r>
      <w:bookmarkEnd w:id="12"/>
    </w:p>
    <w:p w14:paraId="73FF5BA4" w14:textId="0C2388A5" w:rsidR="00282AD6" w:rsidRPr="00282AD6" w:rsidRDefault="00282AD6" w:rsidP="00282AD6"/>
    <w:p w14:paraId="32CC5195" w14:textId="106A6E14" w:rsidR="005522E1" w:rsidRDefault="00D0087C" w:rsidP="00E15B07">
      <w:pPr>
        <w:jc w:val="both"/>
      </w:pPr>
      <w:r>
        <w:t xml:space="preserve">In 2018, Total Inorganic </w:t>
      </w:r>
      <w:r w:rsidR="002D46C5">
        <w:t>N</w:t>
      </w:r>
      <w:r>
        <w:t>itrogen (NN) concentrations ranged between 0.0 and 0.1</w:t>
      </w:r>
      <w:r w:rsidR="001C677E">
        <w:t>9</w:t>
      </w:r>
      <w:r>
        <w:t xml:space="preserve"> mg/L and averaged 0.</w:t>
      </w:r>
      <w:r w:rsidR="001C677E">
        <w:t>09</w:t>
      </w:r>
      <w:r>
        <w:t xml:space="preserve"> mg/L across all sites and seasons; this is </w:t>
      </w:r>
      <w:r w:rsidR="001C677E">
        <w:t xml:space="preserve">just below the </w:t>
      </w:r>
      <w:r>
        <w:t xml:space="preserve">MDEQ </w:t>
      </w:r>
      <w:r w:rsidR="001C677E">
        <w:t>screening value</w:t>
      </w:r>
      <w:r>
        <w:t xml:space="preserve"> (</w:t>
      </w:r>
      <w:r w:rsidRPr="00E15B07">
        <w:rPr>
          <w:b/>
          <w:bCs/>
        </w:rPr>
        <w:t>Figure 5</w:t>
      </w:r>
      <w:r>
        <w:t xml:space="preserve">).  </w:t>
      </w:r>
      <w:r w:rsidR="00E15B07">
        <w:t>June 2018 reported 6 sites with NN concentrations above the screening level</w:t>
      </w:r>
      <w:r w:rsidR="00671375">
        <w:t>,</w:t>
      </w:r>
      <w:r w:rsidR="00E15B07">
        <w:t xml:space="preserve"> and</w:t>
      </w:r>
      <w:r w:rsidR="00766E7B">
        <w:t xml:space="preserve"> in</w:t>
      </w:r>
      <w:r w:rsidR="00E15B07">
        <w:t xml:space="preserve"> </w:t>
      </w:r>
      <w:r w:rsidR="00766E7B">
        <w:t>October</w:t>
      </w:r>
      <w:r w:rsidR="00E15B07">
        <w:t xml:space="preserve"> had 5 in this range (</w:t>
      </w:r>
      <w:r w:rsidR="00E15B07" w:rsidRPr="00E15B07">
        <w:rPr>
          <w:b/>
          <w:bCs/>
        </w:rPr>
        <w:t>Figure 5</w:t>
      </w:r>
      <w:r w:rsidR="00E15B07">
        <w:t xml:space="preserve">).  </w:t>
      </w:r>
      <w:r>
        <w:t xml:space="preserve">In </w:t>
      </w:r>
      <w:r w:rsidR="00E15B07">
        <w:t xml:space="preserve">Fall </w:t>
      </w:r>
      <w:r>
        <w:t xml:space="preserve">2019, </w:t>
      </w:r>
      <w:r w:rsidR="00766E7B">
        <w:t>N</w:t>
      </w:r>
      <w:r>
        <w:t>N concentrations ranged between 0.0 and 0.</w:t>
      </w:r>
      <w:r w:rsidR="001C677E">
        <w:t>12</w:t>
      </w:r>
      <w:r>
        <w:t xml:space="preserve"> mg/L and averaged 0.</w:t>
      </w:r>
      <w:r w:rsidR="001C677E">
        <w:t>08</w:t>
      </w:r>
      <w:r>
        <w:t xml:space="preserve"> mg/</w:t>
      </w:r>
      <w:r w:rsidR="00E40FFF">
        <w:t>L:</w:t>
      </w:r>
      <w:r w:rsidR="00E15B07">
        <w:t xml:space="preserve"> much lower than </w:t>
      </w:r>
      <w:r>
        <w:t>in the fall</w:t>
      </w:r>
      <w:r w:rsidR="00E15B07">
        <w:t xml:space="preserve"> of 2018</w:t>
      </w:r>
      <w:r>
        <w:t xml:space="preserve">.  The highest </w:t>
      </w:r>
      <w:r w:rsidR="001C677E">
        <w:t>N</w:t>
      </w:r>
      <w:r>
        <w:t>N values in 2018/2019 were reported from samples taken during</w:t>
      </w:r>
      <w:r w:rsidR="00E15B07">
        <w:t xml:space="preserve"> the</w:t>
      </w:r>
      <w:r>
        <w:t xml:space="preserve"> </w:t>
      </w:r>
      <w:r w:rsidR="00E15B07">
        <w:t>fall 2018 sampling</w:t>
      </w:r>
      <w:r>
        <w:t xml:space="preserve"> period</w:t>
      </w:r>
      <w:r w:rsidR="00E15B07">
        <w:t xml:space="preserve"> and lowest during the summer period</w:t>
      </w:r>
      <w:r w:rsidR="00510EC6">
        <w:t>, below the Dearborn reported non-detectable levels</w:t>
      </w:r>
      <w:r>
        <w:t xml:space="preserve"> (</w:t>
      </w:r>
      <w:r w:rsidRPr="00E15B07">
        <w:rPr>
          <w:b/>
          <w:bCs/>
        </w:rPr>
        <w:t xml:space="preserve">Figure </w:t>
      </w:r>
      <w:r w:rsidR="00E15B07" w:rsidRPr="00E15B07">
        <w:rPr>
          <w:b/>
          <w:bCs/>
        </w:rPr>
        <w:t>5</w:t>
      </w:r>
      <w:r>
        <w:t xml:space="preserve">). </w:t>
      </w:r>
      <w:r w:rsidR="00071E2C">
        <w:t xml:space="preserve"> </w:t>
      </w:r>
    </w:p>
    <w:p w14:paraId="5FD1D44D" w14:textId="45F58502" w:rsidR="00053948" w:rsidRDefault="00053948" w:rsidP="005522E1"/>
    <w:p w14:paraId="040DEB36" w14:textId="76FC6D99" w:rsidR="001C677E" w:rsidRDefault="00671375" w:rsidP="00671375">
      <w:pPr>
        <w:jc w:val="center"/>
      </w:pPr>
      <w:r>
        <w:rPr>
          <w:noProof/>
        </w:rPr>
        <w:drawing>
          <wp:anchor distT="0" distB="0" distL="114300" distR="114300" simplePos="0" relativeHeight="251675648" behindDoc="0" locked="0" layoutInCell="1" allowOverlap="1" wp14:anchorId="426EFA3E" wp14:editId="5FB9567B">
            <wp:simplePos x="0" y="0"/>
            <wp:positionH relativeFrom="margin">
              <wp:posOffset>19050</wp:posOffset>
            </wp:positionH>
            <wp:positionV relativeFrom="paragraph">
              <wp:posOffset>220980</wp:posOffset>
            </wp:positionV>
            <wp:extent cx="5353050" cy="3248025"/>
            <wp:effectExtent l="0" t="0" r="0" b="9525"/>
            <wp:wrapSquare wrapText="bothSides"/>
            <wp:docPr id="32" name="Chart 32">
              <a:extLst xmlns:a="http://schemas.openxmlformats.org/drawingml/2006/main">
                <a:ext uri="{FF2B5EF4-FFF2-40B4-BE49-F238E27FC236}">
                  <a16:creationId xmlns:a16="http://schemas.microsoft.com/office/drawing/2014/main" id="{0FD35F5E-FBC4-4B8A-94B0-47FF39F6830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sidR="001C677E" w:rsidRPr="00FB33C7">
        <w:rPr>
          <w:b/>
          <w:bCs/>
          <w:i/>
          <w:iCs/>
        </w:rPr>
        <w:t>Figure 5.</w:t>
      </w:r>
      <w:r w:rsidR="001C677E" w:rsidRPr="00FB33C7">
        <w:rPr>
          <w:i/>
          <w:iCs/>
        </w:rPr>
        <w:t xml:space="preserve"> Total </w:t>
      </w:r>
      <w:r w:rsidR="001C677E">
        <w:rPr>
          <w:i/>
          <w:iCs/>
        </w:rPr>
        <w:t>Inorganic Nitrogen</w:t>
      </w:r>
      <w:r w:rsidR="001C677E" w:rsidRPr="00FB33C7">
        <w:rPr>
          <w:i/>
          <w:iCs/>
        </w:rPr>
        <w:t xml:space="preserve"> levels across the UMOWA sites in 2018</w:t>
      </w:r>
      <w:r w:rsidR="001C677E">
        <w:rPr>
          <w:i/>
          <w:iCs/>
        </w:rPr>
        <w:t xml:space="preserve"> and 2019</w:t>
      </w:r>
      <w:r w:rsidR="001C677E">
        <w:t>.</w:t>
      </w:r>
    </w:p>
    <w:p w14:paraId="425891AE" w14:textId="67077E35" w:rsidR="005522E1" w:rsidRPr="00074A92" w:rsidRDefault="00085042" w:rsidP="00CE13AC">
      <w:pPr>
        <w:pStyle w:val="Heading2"/>
        <w:rPr>
          <w:color w:val="1F497D" w:themeColor="text2"/>
        </w:rPr>
      </w:pPr>
      <w:bookmarkStart w:id="13" w:name="_Toc348101942"/>
      <w:bookmarkStart w:id="14" w:name="_Toc380156863"/>
      <w:r w:rsidRPr="00074A92">
        <w:rPr>
          <w:color w:val="1F497D" w:themeColor="text2"/>
        </w:rPr>
        <w:t xml:space="preserve">3.4 </w:t>
      </w:r>
      <w:bookmarkEnd w:id="13"/>
      <w:r w:rsidR="005B51F2" w:rsidRPr="00074A92">
        <w:rPr>
          <w:color w:val="1F497D" w:themeColor="text2"/>
        </w:rPr>
        <w:t>Total Nitrogen</w:t>
      </w:r>
      <w:bookmarkEnd w:id="14"/>
    </w:p>
    <w:p w14:paraId="266BA448" w14:textId="4E06B330" w:rsidR="00282AD6" w:rsidRPr="00282AD6" w:rsidRDefault="00282AD6" w:rsidP="00282AD6"/>
    <w:p w14:paraId="0E4F1FD9" w14:textId="1DAA2CBA" w:rsidR="00385653" w:rsidRDefault="00074A92" w:rsidP="00275739">
      <w:pPr>
        <w:jc w:val="both"/>
      </w:pPr>
      <w:r>
        <w:t xml:space="preserve">In 2018, </w:t>
      </w:r>
      <w:r w:rsidR="00071E2C">
        <w:t xml:space="preserve">Total </w:t>
      </w:r>
      <w:r w:rsidR="00AA5F69">
        <w:t>N</w:t>
      </w:r>
      <w:r w:rsidR="00071E2C">
        <w:t xml:space="preserve">itrogen </w:t>
      </w:r>
      <w:r>
        <w:t xml:space="preserve">(TN) </w:t>
      </w:r>
      <w:r w:rsidR="00071E2C">
        <w:t>concentrations ra</w:t>
      </w:r>
      <w:r w:rsidR="00561026">
        <w:t>nged between 0.0</w:t>
      </w:r>
      <w:r>
        <w:t>7</w:t>
      </w:r>
      <w:r w:rsidR="00561026">
        <w:t xml:space="preserve"> and 0.</w:t>
      </w:r>
      <w:r w:rsidR="00D90444">
        <w:t>49</w:t>
      </w:r>
      <w:r w:rsidR="00561026">
        <w:t xml:space="preserve"> mg/L</w:t>
      </w:r>
      <w:r>
        <w:t xml:space="preserve"> and averaged 0.35 mg/L </w:t>
      </w:r>
      <w:r w:rsidR="003844EB">
        <w:t xml:space="preserve">(±0.03 SE) </w:t>
      </w:r>
      <w:r>
        <w:t xml:space="preserve">across all sites and seasons; this is above the MDEQ nutrient standard </w:t>
      </w:r>
      <w:r w:rsidR="00483A3A">
        <w:t xml:space="preserve">for wadable streams </w:t>
      </w:r>
      <w:r>
        <w:t>(</w:t>
      </w:r>
      <w:r w:rsidRPr="00385653">
        <w:rPr>
          <w:b/>
          <w:bCs/>
        </w:rPr>
        <w:t xml:space="preserve">Figure </w:t>
      </w:r>
      <w:r w:rsidR="00385653" w:rsidRPr="00385653">
        <w:rPr>
          <w:b/>
          <w:bCs/>
        </w:rPr>
        <w:t>6</w:t>
      </w:r>
      <w:r>
        <w:t xml:space="preserve">).  </w:t>
      </w:r>
      <w:r w:rsidR="00D90444">
        <w:t xml:space="preserve">In </w:t>
      </w:r>
      <w:r w:rsidR="003844EB">
        <w:t xml:space="preserve">October </w:t>
      </w:r>
      <w:r w:rsidR="00D90444">
        <w:t xml:space="preserve">2019, TN concentrations ranged between 0.05 and 0.36 mg/L and averaged 0.25 mg/L across all sites.  The </w:t>
      </w:r>
      <w:r w:rsidR="00AA5F69">
        <w:t xml:space="preserve">spatially </w:t>
      </w:r>
      <w:r w:rsidR="00D90444">
        <w:t>highest TN values in 2018/2019 were reported from the samples taken during the high flow June period (</w:t>
      </w:r>
      <w:r w:rsidR="00D90444" w:rsidRPr="00385653">
        <w:rPr>
          <w:b/>
          <w:bCs/>
        </w:rPr>
        <w:t xml:space="preserve">Figure </w:t>
      </w:r>
      <w:r w:rsidR="00385653" w:rsidRPr="00385653">
        <w:rPr>
          <w:b/>
          <w:bCs/>
        </w:rPr>
        <w:t>6</w:t>
      </w:r>
      <w:r w:rsidR="00D90444">
        <w:t>).</w:t>
      </w:r>
      <w:r w:rsidR="00385653">
        <w:t xml:space="preserve">  </w:t>
      </w:r>
      <w:r w:rsidR="00AA5F69">
        <w:t>E</w:t>
      </w:r>
      <w:r w:rsidR="00385653">
        <w:t xml:space="preserve">levated TN concentrations with levels above the MDEQ standard were reported at 6 of the 7 sample sites in June of 2018 and this continued into </w:t>
      </w:r>
      <w:r w:rsidR="00AA5F69">
        <w:t>October</w:t>
      </w:r>
      <w:r w:rsidR="00385653">
        <w:t xml:space="preserve"> of 2018, except for site MO_LPPC_DS (</w:t>
      </w:r>
      <w:r w:rsidR="00385653" w:rsidRPr="00EE6430">
        <w:rPr>
          <w:b/>
          <w:bCs/>
        </w:rPr>
        <w:t xml:space="preserve">Figure </w:t>
      </w:r>
      <w:r w:rsidR="00385653">
        <w:rPr>
          <w:b/>
          <w:bCs/>
        </w:rPr>
        <w:t>6</w:t>
      </w:r>
      <w:r w:rsidR="00385653">
        <w:t>).</w:t>
      </w:r>
      <w:r w:rsidR="002D46C5">
        <w:t xml:space="preserve">  October 2017 was the first sample period of this project where Missouri River samples began exhibiting elevated TN levels (</w:t>
      </w:r>
      <w:r w:rsidR="002D46C5" w:rsidRPr="00275739">
        <w:rPr>
          <w:b/>
          <w:bCs/>
        </w:rPr>
        <w:t>Figure 7</w:t>
      </w:r>
      <w:r w:rsidR="002D46C5">
        <w:t>).</w:t>
      </w:r>
    </w:p>
    <w:p w14:paraId="5AD9A464" w14:textId="0C857A7D" w:rsidR="005522E1" w:rsidRDefault="005522E1" w:rsidP="00766E7B">
      <w:pPr>
        <w:jc w:val="both"/>
      </w:pPr>
    </w:p>
    <w:p w14:paraId="07B115B2" w14:textId="503B98F6" w:rsidR="005522E1" w:rsidRDefault="005522E1" w:rsidP="00766E7B">
      <w:pPr>
        <w:jc w:val="both"/>
      </w:pPr>
    </w:p>
    <w:p w14:paraId="15A47827" w14:textId="53EF2994" w:rsidR="005704AB" w:rsidRDefault="00D90444" w:rsidP="005704AB">
      <w:pPr>
        <w:ind w:left="720"/>
      </w:pPr>
      <w:r>
        <w:rPr>
          <w:noProof/>
        </w:rPr>
        <w:drawing>
          <wp:anchor distT="0" distB="0" distL="114300" distR="114300" simplePos="0" relativeHeight="251673600" behindDoc="0" locked="0" layoutInCell="1" allowOverlap="1" wp14:anchorId="6CDCDF92" wp14:editId="3CD65B3C">
            <wp:simplePos x="0" y="0"/>
            <wp:positionH relativeFrom="column">
              <wp:posOffset>142875</wp:posOffset>
            </wp:positionH>
            <wp:positionV relativeFrom="paragraph">
              <wp:posOffset>287655</wp:posOffset>
            </wp:positionV>
            <wp:extent cx="5219700" cy="3305175"/>
            <wp:effectExtent l="0" t="0" r="0" b="9525"/>
            <wp:wrapSquare wrapText="bothSides"/>
            <wp:docPr id="23" name="Chart 23">
              <a:extLst xmlns:a="http://schemas.openxmlformats.org/drawingml/2006/main">
                <a:ext uri="{FF2B5EF4-FFF2-40B4-BE49-F238E27FC236}">
                  <a16:creationId xmlns:a16="http://schemas.microsoft.com/office/drawing/2014/main" id="{E3291AA3-FB93-4CD3-BEBE-1CD889EB44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sidR="00074A92" w:rsidRPr="00FB33C7">
        <w:rPr>
          <w:b/>
          <w:bCs/>
          <w:i/>
          <w:iCs/>
        </w:rPr>
        <w:t xml:space="preserve">Figure </w:t>
      </w:r>
      <w:r w:rsidR="00E15B07">
        <w:rPr>
          <w:b/>
          <w:bCs/>
          <w:i/>
          <w:iCs/>
        </w:rPr>
        <w:t>6</w:t>
      </w:r>
      <w:r w:rsidR="00074A92" w:rsidRPr="00FB33C7">
        <w:rPr>
          <w:b/>
          <w:bCs/>
          <w:i/>
          <w:iCs/>
        </w:rPr>
        <w:t>.</w:t>
      </w:r>
      <w:r w:rsidR="00074A92" w:rsidRPr="00FB33C7">
        <w:rPr>
          <w:i/>
          <w:iCs/>
        </w:rPr>
        <w:t xml:space="preserve"> Total </w:t>
      </w:r>
      <w:r w:rsidR="00074A92">
        <w:rPr>
          <w:i/>
          <w:iCs/>
        </w:rPr>
        <w:t>Nitrogen</w:t>
      </w:r>
      <w:r w:rsidR="00074A92" w:rsidRPr="00FB33C7">
        <w:rPr>
          <w:i/>
          <w:iCs/>
        </w:rPr>
        <w:t xml:space="preserve"> levels across the UMOWA sites in 2018</w:t>
      </w:r>
      <w:r>
        <w:rPr>
          <w:i/>
          <w:iCs/>
        </w:rPr>
        <w:t xml:space="preserve"> and 2019</w:t>
      </w:r>
      <w:r w:rsidR="00074A92">
        <w:t>.</w:t>
      </w:r>
    </w:p>
    <w:p w14:paraId="426240CF" w14:textId="0E64B350" w:rsidR="005704AB" w:rsidRDefault="005704AB" w:rsidP="005704AB">
      <w:pPr>
        <w:rPr>
          <w:b/>
          <w:color w:val="1F497D" w:themeColor="text2"/>
        </w:rPr>
      </w:pPr>
    </w:p>
    <w:p w14:paraId="0A8A21D2" w14:textId="2C85E3FB" w:rsidR="00282AD6" w:rsidRDefault="00130C34" w:rsidP="00282AD6">
      <w:bookmarkStart w:id="15" w:name="_Toc348101943"/>
      <w:r>
        <w:rPr>
          <w:noProof/>
        </w:rPr>
        <w:drawing>
          <wp:anchor distT="0" distB="0" distL="114300" distR="114300" simplePos="0" relativeHeight="251677696" behindDoc="0" locked="0" layoutInCell="1" allowOverlap="1" wp14:anchorId="20B9790D" wp14:editId="3734FF04">
            <wp:simplePos x="0" y="0"/>
            <wp:positionH relativeFrom="margin">
              <wp:posOffset>2962275</wp:posOffset>
            </wp:positionH>
            <wp:positionV relativeFrom="margin">
              <wp:posOffset>4106545</wp:posOffset>
            </wp:positionV>
            <wp:extent cx="3070225" cy="2190115"/>
            <wp:effectExtent l="0" t="0" r="0" b="635"/>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70225" cy="219011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6672" behindDoc="0" locked="0" layoutInCell="1" allowOverlap="1" wp14:anchorId="0126E603" wp14:editId="13899395">
            <wp:simplePos x="0" y="0"/>
            <wp:positionH relativeFrom="margin">
              <wp:posOffset>-95250</wp:posOffset>
            </wp:positionH>
            <wp:positionV relativeFrom="margin">
              <wp:posOffset>4104640</wp:posOffset>
            </wp:positionV>
            <wp:extent cx="3086100" cy="2186940"/>
            <wp:effectExtent l="0" t="0" r="0" b="3810"/>
            <wp:wrapSquare wrapText="bothSides"/>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86100" cy="218694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9744" behindDoc="0" locked="0" layoutInCell="1" allowOverlap="1" wp14:anchorId="5DAACFE4" wp14:editId="2787DC0B">
            <wp:simplePos x="0" y="0"/>
            <wp:positionH relativeFrom="margin">
              <wp:posOffset>2953385</wp:posOffset>
            </wp:positionH>
            <wp:positionV relativeFrom="margin">
              <wp:posOffset>6451600</wp:posOffset>
            </wp:positionV>
            <wp:extent cx="3105785" cy="2036445"/>
            <wp:effectExtent l="0" t="0" r="0" b="1905"/>
            <wp:wrapSquare wrapText="bothSides"/>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05785" cy="2036445"/>
                    </a:xfrm>
                    <a:prstGeom prst="rect">
                      <a:avLst/>
                    </a:prstGeom>
                    <a:noFill/>
                  </pic:spPr>
                </pic:pic>
              </a:graphicData>
            </a:graphic>
            <wp14:sizeRelH relativeFrom="margin">
              <wp14:pctWidth>0</wp14:pctWidth>
            </wp14:sizeRelH>
            <wp14:sizeRelV relativeFrom="margin">
              <wp14:pctHeight>0</wp14:pctHeight>
            </wp14:sizeRelV>
          </wp:anchor>
        </w:drawing>
      </w:r>
      <w:r w:rsidRPr="00FB33C7">
        <w:rPr>
          <w:b/>
          <w:bCs/>
          <w:i/>
          <w:iCs/>
        </w:rPr>
        <w:t xml:space="preserve">Figure </w:t>
      </w:r>
      <w:r>
        <w:rPr>
          <w:b/>
          <w:bCs/>
          <w:i/>
          <w:iCs/>
        </w:rPr>
        <w:t>7</w:t>
      </w:r>
      <w:r w:rsidRPr="00FB33C7">
        <w:rPr>
          <w:b/>
          <w:bCs/>
          <w:i/>
          <w:iCs/>
        </w:rPr>
        <w:t>.</w:t>
      </w:r>
      <w:r w:rsidRPr="00FB33C7">
        <w:rPr>
          <w:i/>
          <w:iCs/>
        </w:rPr>
        <w:t xml:space="preserve"> Total </w:t>
      </w:r>
      <w:r>
        <w:rPr>
          <w:i/>
          <w:iCs/>
        </w:rPr>
        <w:t>Nitrogen</w:t>
      </w:r>
      <w:r w:rsidRPr="00FB33C7">
        <w:rPr>
          <w:i/>
          <w:iCs/>
        </w:rPr>
        <w:t xml:space="preserve"> levels across the UMOWA sites </w:t>
      </w:r>
      <w:r>
        <w:rPr>
          <w:i/>
          <w:iCs/>
        </w:rPr>
        <w:t>between</w:t>
      </w:r>
      <w:r w:rsidRPr="00FB33C7">
        <w:rPr>
          <w:i/>
          <w:iCs/>
        </w:rPr>
        <w:t xml:space="preserve"> 201</w:t>
      </w:r>
      <w:r>
        <w:rPr>
          <w:i/>
          <w:iCs/>
        </w:rPr>
        <w:t>6 and 2019</w:t>
      </w:r>
      <w:r>
        <w:t>.</w:t>
      </w:r>
    </w:p>
    <w:p w14:paraId="1EDF8DDC" w14:textId="263D53E2" w:rsidR="00074A92" w:rsidRDefault="00130C34" w:rsidP="00282AD6">
      <w:r>
        <w:rPr>
          <w:noProof/>
        </w:rPr>
        <w:drawing>
          <wp:anchor distT="0" distB="0" distL="114300" distR="114300" simplePos="0" relativeHeight="251678720" behindDoc="0" locked="0" layoutInCell="1" allowOverlap="1" wp14:anchorId="3738BD6B" wp14:editId="7FC39DF9">
            <wp:simplePos x="0" y="0"/>
            <wp:positionH relativeFrom="margin">
              <wp:posOffset>-85725</wp:posOffset>
            </wp:positionH>
            <wp:positionV relativeFrom="margin">
              <wp:posOffset>6447790</wp:posOffset>
            </wp:positionV>
            <wp:extent cx="3048000" cy="2040890"/>
            <wp:effectExtent l="0" t="0" r="0" b="0"/>
            <wp:wrapSquare wrapText="bothSides"/>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48000" cy="2040890"/>
                    </a:xfrm>
                    <a:prstGeom prst="rect">
                      <a:avLst/>
                    </a:prstGeom>
                    <a:noFill/>
                  </pic:spPr>
                </pic:pic>
              </a:graphicData>
            </a:graphic>
            <wp14:sizeRelH relativeFrom="margin">
              <wp14:pctWidth>0</wp14:pctWidth>
            </wp14:sizeRelH>
            <wp14:sizeRelV relativeFrom="margin">
              <wp14:pctHeight>0</wp14:pctHeight>
            </wp14:sizeRelV>
          </wp:anchor>
        </w:drawing>
      </w:r>
    </w:p>
    <w:p w14:paraId="6836B46E" w14:textId="4510BF3D" w:rsidR="00074A92" w:rsidRDefault="00130C34" w:rsidP="00282AD6">
      <w:pPr>
        <w:rPr>
          <w:i/>
          <w:iCs/>
        </w:rPr>
      </w:pPr>
      <w:r w:rsidRPr="00FB33C7">
        <w:rPr>
          <w:b/>
          <w:bCs/>
          <w:i/>
          <w:iCs/>
        </w:rPr>
        <w:t xml:space="preserve">Figure </w:t>
      </w:r>
      <w:r>
        <w:rPr>
          <w:b/>
          <w:bCs/>
          <w:i/>
          <w:iCs/>
        </w:rPr>
        <w:t>7</w:t>
      </w:r>
      <w:r w:rsidRPr="00782FB8">
        <w:rPr>
          <w:b/>
          <w:bCs/>
          <w:i/>
          <w:iCs/>
        </w:rPr>
        <w:t>. cont.</w:t>
      </w:r>
      <w:r>
        <w:rPr>
          <w:i/>
          <w:iCs/>
        </w:rPr>
        <w:t xml:space="preserve"> </w:t>
      </w:r>
      <w:r w:rsidRPr="00FB33C7">
        <w:rPr>
          <w:i/>
          <w:iCs/>
        </w:rPr>
        <w:t xml:space="preserve">Total </w:t>
      </w:r>
      <w:r>
        <w:rPr>
          <w:i/>
          <w:iCs/>
        </w:rPr>
        <w:t>Nitrogen</w:t>
      </w:r>
      <w:r w:rsidRPr="00FB33C7">
        <w:rPr>
          <w:i/>
          <w:iCs/>
        </w:rPr>
        <w:t xml:space="preserve"> levels</w:t>
      </w:r>
      <w:r w:rsidR="00EE6430" w:rsidRPr="00EE6430">
        <w:rPr>
          <w:i/>
          <w:iCs/>
        </w:rPr>
        <w:t xml:space="preserve"> </w:t>
      </w:r>
      <w:r w:rsidR="00EE6430" w:rsidRPr="00FB33C7">
        <w:rPr>
          <w:i/>
          <w:iCs/>
        </w:rPr>
        <w:t xml:space="preserve">across the UMOWA sites </w:t>
      </w:r>
      <w:r w:rsidR="00EE6430">
        <w:rPr>
          <w:i/>
          <w:iCs/>
        </w:rPr>
        <w:t>between</w:t>
      </w:r>
      <w:r w:rsidR="00EE6430" w:rsidRPr="00FB33C7">
        <w:rPr>
          <w:i/>
          <w:iCs/>
        </w:rPr>
        <w:t xml:space="preserve"> 201</w:t>
      </w:r>
      <w:r w:rsidR="00EE6430">
        <w:rPr>
          <w:i/>
          <w:iCs/>
        </w:rPr>
        <w:t>6 and 2019</w:t>
      </w:r>
      <w:r w:rsidR="00EE6430">
        <w:t>.</w:t>
      </w:r>
    </w:p>
    <w:p w14:paraId="3DD05CEB" w14:textId="5497688A" w:rsidR="00130C34" w:rsidRDefault="00130C34" w:rsidP="00282AD6">
      <w:r>
        <w:rPr>
          <w:noProof/>
        </w:rPr>
        <w:drawing>
          <wp:anchor distT="0" distB="0" distL="114300" distR="114300" simplePos="0" relativeHeight="251680768" behindDoc="0" locked="0" layoutInCell="1" allowOverlap="1" wp14:anchorId="145E6231" wp14:editId="6AC56F24">
            <wp:simplePos x="0" y="0"/>
            <wp:positionH relativeFrom="margin">
              <wp:posOffset>942975</wp:posOffset>
            </wp:positionH>
            <wp:positionV relativeFrom="margin">
              <wp:posOffset>247015</wp:posOffset>
            </wp:positionV>
            <wp:extent cx="3597910" cy="2630170"/>
            <wp:effectExtent l="0" t="0" r="2540" b="0"/>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97910" cy="2630170"/>
                    </a:xfrm>
                    <a:prstGeom prst="rect">
                      <a:avLst/>
                    </a:prstGeom>
                    <a:noFill/>
                  </pic:spPr>
                </pic:pic>
              </a:graphicData>
            </a:graphic>
            <wp14:sizeRelH relativeFrom="margin">
              <wp14:pctWidth>0</wp14:pctWidth>
            </wp14:sizeRelH>
            <wp14:sizeRelV relativeFrom="margin">
              <wp14:pctHeight>0</wp14:pctHeight>
            </wp14:sizeRelV>
          </wp:anchor>
        </w:drawing>
      </w:r>
    </w:p>
    <w:p w14:paraId="6FD1E029" w14:textId="3C5644BA" w:rsidR="00074A92" w:rsidRDefault="00074A92" w:rsidP="00282AD6"/>
    <w:p w14:paraId="3A104DFA" w14:textId="07F28694" w:rsidR="00130C34" w:rsidRDefault="00130C34" w:rsidP="00282AD6"/>
    <w:p w14:paraId="050A000E" w14:textId="46DD3C8A" w:rsidR="00130C34" w:rsidRDefault="00130C34" w:rsidP="00282AD6"/>
    <w:p w14:paraId="7A14716D" w14:textId="5B38082D" w:rsidR="00130C34" w:rsidRDefault="00130C34" w:rsidP="00282AD6"/>
    <w:p w14:paraId="114F9430" w14:textId="2DD4F2C4" w:rsidR="00130C34" w:rsidRDefault="00130C34" w:rsidP="00282AD6"/>
    <w:p w14:paraId="28267483" w14:textId="1084637D" w:rsidR="00130C34" w:rsidRDefault="00130C34" w:rsidP="00282AD6"/>
    <w:p w14:paraId="392188C3" w14:textId="1CC476BC" w:rsidR="00130C34" w:rsidRDefault="00130C34" w:rsidP="00282AD6"/>
    <w:p w14:paraId="4A9850BF" w14:textId="06E9DE40" w:rsidR="00130C34" w:rsidRDefault="00130C34" w:rsidP="00282AD6"/>
    <w:p w14:paraId="587AE872" w14:textId="7D927DC8" w:rsidR="00130C34" w:rsidRDefault="00130C34" w:rsidP="00282AD6"/>
    <w:p w14:paraId="342D0ACE" w14:textId="01C60FF8" w:rsidR="00130C34" w:rsidRDefault="00130C34" w:rsidP="00282AD6"/>
    <w:p w14:paraId="21C496CD" w14:textId="0AAB0B9B" w:rsidR="00130C34" w:rsidRDefault="00130C34" w:rsidP="00282AD6"/>
    <w:p w14:paraId="00746CF7" w14:textId="05C9A2AD" w:rsidR="00130C34" w:rsidRDefault="00130C34" w:rsidP="00282AD6"/>
    <w:p w14:paraId="3F5396DC" w14:textId="3D5B7CFF" w:rsidR="00130C34" w:rsidRDefault="00130C34" w:rsidP="00282AD6"/>
    <w:p w14:paraId="20604B8C" w14:textId="5643D26C" w:rsidR="00130C34" w:rsidRDefault="00130C34" w:rsidP="00282AD6"/>
    <w:p w14:paraId="7085327F" w14:textId="4B27A726" w:rsidR="00130C34" w:rsidRDefault="00130C34" w:rsidP="00282AD6">
      <w:r>
        <w:rPr>
          <w:noProof/>
        </w:rPr>
        <w:drawing>
          <wp:anchor distT="0" distB="0" distL="114300" distR="114300" simplePos="0" relativeHeight="251681792" behindDoc="0" locked="0" layoutInCell="1" allowOverlap="1" wp14:anchorId="6ACCF8F5" wp14:editId="7C52E8E8">
            <wp:simplePos x="0" y="0"/>
            <wp:positionH relativeFrom="margin">
              <wp:posOffset>942975</wp:posOffset>
            </wp:positionH>
            <wp:positionV relativeFrom="margin">
              <wp:posOffset>2891790</wp:posOffset>
            </wp:positionV>
            <wp:extent cx="3597910" cy="2524760"/>
            <wp:effectExtent l="0" t="0" r="2540" b="8890"/>
            <wp:wrapSquare wrapText="bothSides"/>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597910" cy="2524760"/>
                    </a:xfrm>
                    <a:prstGeom prst="rect">
                      <a:avLst/>
                    </a:prstGeom>
                    <a:noFill/>
                  </pic:spPr>
                </pic:pic>
              </a:graphicData>
            </a:graphic>
            <wp14:sizeRelH relativeFrom="margin">
              <wp14:pctWidth>0</wp14:pctWidth>
            </wp14:sizeRelH>
            <wp14:sizeRelV relativeFrom="margin">
              <wp14:pctHeight>0</wp14:pctHeight>
            </wp14:sizeRelV>
          </wp:anchor>
        </w:drawing>
      </w:r>
    </w:p>
    <w:p w14:paraId="4AA9E8EF" w14:textId="24181699" w:rsidR="00074A92" w:rsidRDefault="00074A92" w:rsidP="00282AD6"/>
    <w:p w14:paraId="12CDBD04" w14:textId="4FAB0CC3" w:rsidR="00074A92" w:rsidRDefault="00074A92" w:rsidP="00282AD6"/>
    <w:p w14:paraId="3E3C0389" w14:textId="0C45FC7B" w:rsidR="00074A92" w:rsidRDefault="00074A92" w:rsidP="00282AD6"/>
    <w:p w14:paraId="319C71BF" w14:textId="48F859CB" w:rsidR="00074A92" w:rsidRDefault="00074A92" w:rsidP="00282AD6"/>
    <w:p w14:paraId="1EED4633" w14:textId="41072A71" w:rsidR="00074A92" w:rsidRDefault="00074A92" w:rsidP="00282AD6"/>
    <w:p w14:paraId="28C8C628" w14:textId="5DBB07BC" w:rsidR="00074A92" w:rsidRDefault="00074A92" w:rsidP="00282AD6"/>
    <w:p w14:paraId="1A3F0A80" w14:textId="2EF866DD" w:rsidR="00074A92" w:rsidRDefault="00074A92" w:rsidP="00282AD6"/>
    <w:p w14:paraId="12E3E7C7" w14:textId="2BEE75E5" w:rsidR="00AC7682" w:rsidRPr="00282AD6" w:rsidRDefault="00EE6430" w:rsidP="00282AD6">
      <w:r>
        <w:rPr>
          <w:noProof/>
        </w:rPr>
        <w:drawing>
          <wp:anchor distT="0" distB="0" distL="114300" distR="114300" simplePos="0" relativeHeight="251682816" behindDoc="0" locked="0" layoutInCell="1" allowOverlap="1" wp14:anchorId="6D94697B" wp14:editId="4D6CC683">
            <wp:simplePos x="0" y="0"/>
            <wp:positionH relativeFrom="margin">
              <wp:posOffset>971550</wp:posOffset>
            </wp:positionH>
            <wp:positionV relativeFrom="margin">
              <wp:posOffset>5533390</wp:posOffset>
            </wp:positionV>
            <wp:extent cx="3581400" cy="2950210"/>
            <wp:effectExtent l="19050" t="19050" r="19050" b="21590"/>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2">
                      <a:extLst>
                        <a:ext uri="{28A0092B-C50C-407E-A947-70E740481C1C}">
                          <a14:useLocalDpi xmlns:a14="http://schemas.microsoft.com/office/drawing/2010/main" val="0"/>
                        </a:ext>
                      </a:extLst>
                    </a:blip>
                    <a:srcRect r="5764"/>
                    <a:stretch/>
                  </pic:blipFill>
                  <pic:spPr bwMode="auto">
                    <a:xfrm>
                      <a:off x="0" y="0"/>
                      <a:ext cx="3581400" cy="2950210"/>
                    </a:xfrm>
                    <a:prstGeom prst="rect">
                      <a:avLst/>
                    </a:prstGeom>
                    <a:noFill/>
                    <a:ln w="9525">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30C34">
        <w:br w:type="page"/>
      </w:r>
    </w:p>
    <w:p w14:paraId="779DBD21" w14:textId="32AD7679" w:rsidR="00C8179F" w:rsidRPr="00074A92" w:rsidRDefault="005522E1" w:rsidP="00743778">
      <w:pPr>
        <w:pStyle w:val="Heading2"/>
        <w:rPr>
          <w:color w:val="1F497D" w:themeColor="text2"/>
        </w:rPr>
      </w:pPr>
      <w:bookmarkStart w:id="16" w:name="_Toc380156864"/>
      <w:r w:rsidRPr="00782FB8">
        <w:rPr>
          <w:color w:val="1F497D" w:themeColor="text2"/>
          <w:sz w:val="28"/>
          <w:szCs w:val="28"/>
        </w:rPr>
        <w:t xml:space="preserve">3.5 </w:t>
      </w:r>
      <w:bookmarkEnd w:id="15"/>
      <w:r w:rsidR="005B51F2" w:rsidRPr="00782FB8">
        <w:rPr>
          <w:color w:val="1F497D" w:themeColor="text2"/>
          <w:sz w:val="28"/>
          <w:szCs w:val="28"/>
        </w:rPr>
        <w:t>Total Phosphorus</w:t>
      </w:r>
      <w:bookmarkEnd w:id="16"/>
    </w:p>
    <w:p w14:paraId="796D96C4" w14:textId="77777777" w:rsidR="00C8179F" w:rsidRDefault="00C8179F" w:rsidP="00C8179F"/>
    <w:p w14:paraId="4A9DB388" w14:textId="466B4B2D" w:rsidR="00C8179F" w:rsidRDefault="00FB33C7" w:rsidP="00C8179F">
      <w:r>
        <w:t xml:space="preserve">In 2018, </w:t>
      </w:r>
      <w:r w:rsidR="00CE13AC">
        <w:t xml:space="preserve">Total phosphorus </w:t>
      </w:r>
      <w:r>
        <w:t xml:space="preserve">(TP) </w:t>
      </w:r>
      <w:r w:rsidR="00CE13AC">
        <w:t>concentrations ranged between 0.0 and 0.0</w:t>
      </w:r>
      <w:r>
        <w:t>81</w:t>
      </w:r>
      <w:r w:rsidR="00CE13AC">
        <w:t xml:space="preserve"> mg/L</w:t>
      </w:r>
      <w:r>
        <w:t xml:space="preserve"> and averaged 0.037 mg/L </w:t>
      </w:r>
      <w:r w:rsidR="00495FF8">
        <w:t xml:space="preserve">(±0.006 SE) </w:t>
      </w:r>
      <w:r>
        <w:t xml:space="preserve">across all sites and seasons; </w:t>
      </w:r>
      <w:r w:rsidR="00485D48">
        <w:t xml:space="preserve">5 of 7 sites were above the </w:t>
      </w:r>
      <w:r>
        <w:t>MDEQ nutrient standard (</w:t>
      </w:r>
      <w:r w:rsidRPr="00EE6430">
        <w:rPr>
          <w:b/>
          <w:bCs/>
        </w:rPr>
        <w:t xml:space="preserve">Figure </w:t>
      </w:r>
      <w:r w:rsidR="00EE6430" w:rsidRPr="00EE6430">
        <w:rPr>
          <w:b/>
          <w:bCs/>
        </w:rPr>
        <w:t>8</w:t>
      </w:r>
      <w:r>
        <w:t>)</w:t>
      </w:r>
      <w:r w:rsidR="00CE13AC">
        <w:t xml:space="preserve">. </w:t>
      </w:r>
      <w:r>
        <w:t xml:space="preserve"> T</w:t>
      </w:r>
      <w:r w:rsidR="00AC7682">
        <w:t xml:space="preserve">hese </w:t>
      </w:r>
      <w:r>
        <w:t>elevated TP concentration</w:t>
      </w:r>
      <w:r w:rsidR="00AC7682">
        <w:t>s reported</w:t>
      </w:r>
      <w:r>
        <w:t xml:space="preserve"> in </w:t>
      </w:r>
      <w:r w:rsidR="00495FF8">
        <w:t xml:space="preserve">October </w:t>
      </w:r>
      <w:r w:rsidR="00AC7682">
        <w:t>of 2018</w:t>
      </w:r>
      <w:r>
        <w:t xml:space="preserve"> continued in</w:t>
      </w:r>
      <w:r w:rsidR="00AC7682">
        <w:t>to the fall of</w:t>
      </w:r>
      <w:r>
        <w:t xml:space="preserve"> 2019 with 6 of the 7 sample sites reporting levels above the </w:t>
      </w:r>
      <w:r w:rsidR="00074A92">
        <w:t xml:space="preserve">MDEQ </w:t>
      </w:r>
      <w:r>
        <w:t>standard (</w:t>
      </w:r>
      <w:r w:rsidRPr="00EE6430">
        <w:rPr>
          <w:b/>
          <w:bCs/>
        </w:rPr>
        <w:t xml:space="preserve">Figure </w:t>
      </w:r>
      <w:r w:rsidR="00EE6430">
        <w:rPr>
          <w:b/>
          <w:bCs/>
        </w:rPr>
        <w:t>9</w:t>
      </w:r>
      <w:r>
        <w:t>)</w:t>
      </w:r>
      <w:r w:rsidR="00D0087C">
        <w:t>.</w:t>
      </w:r>
    </w:p>
    <w:p w14:paraId="109F867C" w14:textId="1435414E" w:rsidR="00074A92" w:rsidRDefault="00074A92" w:rsidP="00C8179F"/>
    <w:p w14:paraId="1EFD5475" w14:textId="59272B26" w:rsidR="00C8179F" w:rsidRDefault="00AC7682" w:rsidP="00F0227F">
      <w:pPr>
        <w:ind w:left="720"/>
      </w:pPr>
      <w:r>
        <w:rPr>
          <w:noProof/>
        </w:rPr>
        <w:drawing>
          <wp:anchor distT="0" distB="0" distL="114300" distR="114300" simplePos="0" relativeHeight="251674624" behindDoc="0" locked="0" layoutInCell="1" allowOverlap="1" wp14:anchorId="32FD1E6C" wp14:editId="54BA5768">
            <wp:simplePos x="0" y="0"/>
            <wp:positionH relativeFrom="margin">
              <wp:align>left</wp:align>
            </wp:positionH>
            <wp:positionV relativeFrom="paragraph">
              <wp:posOffset>290195</wp:posOffset>
            </wp:positionV>
            <wp:extent cx="5391150" cy="3228975"/>
            <wp:effectExtent l="0" t="0" r="0" b="9525"/>
            <wp:wrapSquare wrapText="bothSides"/>
            <wp:docPr id="25" name="Chart 25">
              <a:extLst xmlns:a="http://schemas.openxmlformats.org/drawingml/2006/main">
                <a:ext uri="{FF2B5EF4-FFF2-40B4-BE49-F238E27FC236}">
                  <a16:creationId xmlns:a16="http://schemas.microsoft.com/office/drawing/2014/main" id="{90CAC75C-C03E-4121-A61B-F9567E5C60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r w:rsidR="00FB33C7">
        <w:rPr>
          <w:b/>
          <w:bCs/>
          <w:i/>
          <w:iCs/>
        </w:rPr>
        <w:t xml:space="preserve">   </w:t>
      </w:r>
      <w:r w:rsidR="00FB33C7" w:rsidRPr="00FB33C7">
        <w:rPr>
          <w:b/>
          <w:bCs/>
          <w:i/>
          <w:iCs/>
        </w:rPr>
        <w:t xml:space="preserve">Figure </w:t>
      </w:r>
      <w:r w:rsidR="00EE6430">
        <w:rPr>
          <w:b/>
          <w:bCs/>
          <w:i/>
          <w:iCs/>
        </w:rPr>
        <w:t>8</w:t>
      </w:r>
      <w:r w:rsidR="00FB33C7" w:rsidRPr="00FB33C7">
        <w:rPr>
          <w:b/>
          <w:bCs/>
          <w:i/>
          <w:iCs/>
        </w:rPr>
        <w:t>.</w:t>
      </w:r>
      <w:r w:rsidR="00FB33C7" w:rsidRPr="00FB33C7">
        <w:rPr>
          <w:i/>
          <w:iCs/>
        </w:rPr>
        <w:t xml:space="preserve"> Total Phosphorus levels across the UMOWA sites in 2018</w:t>
      </w:r>
      <w:r w:rsidR="00687385">
        <w:rPr>
          <w:i/>
          <w:iCs/>
        </w:rPr>
        <w:t xml:space="preserve"> and 2019</w:t>
      </w:r>
      <w:r w:rsidR="00FB33C7">
        <w:t>.</w:t>
      </w:r>
    </w:p>
    <w:p w14:paraId="37F3ACED" w14:textId="0AEF6E09" w:rsidR="00FB33C7" w:rsidRDefault="00FB33C7" w:rsidP="005704AB">
      <w:pPr>
        <w:ind w:left="720"/>
      </w:pPr>
    </w:p>
    <w:p w14:paraId="54D4A50F" w14:textId="3660B199" w:rsidR="00FB33C7" w:rsidRDefault="00FB33C7" w:rsidP="005704AB">
      <w:pPr>
        <w:ind w:left="720"/>
      </w:pPr>
      <w:r>
        <w:rPr>
          <w:b/>
          <w:bCs/>
          <w:i/>
          <w:iCs/>
        </w:rPr>
        <w:t xml:space="preserve">         </w:t>
      </w:r>
      <w:r w:rsidRPr="00FB33C7">
        <w:rPr>
          <w:b/>
          <w:bCs/>
          <w:i/>
          <w:iCs/>
        </w:rPr>
        <w:t xml:space="preserve">Figure </w:t>
      </w:r>
      <w:r w:rsidR="00EE6430">
        <w:rPr>
          <w:b/>
          <w:bCs/>
          <w:i/>
          <w:iCs/>
        </w:rPr>
        <w:t>9</w:t>
      </w:r>
      <w:r w:rsidRPr="00FB33C7">
        <w:rPr>
          <w:b/>
          <w:bCs/>
          <w:i/>
          <w:iCs/>
        </w:rPr>
        <w:t>.</w:t>
      </w:r>
      <w:r w:rsidRPr="00FB33C7">
        <w:rPr>
          <w:i/>
          <w:iCs/>
        </w:rPr>
        <w:t xml:space="preserve"> Total Phosphorus levels across the UMOWA sites in 201</w:t>
      </w:r>
      <w:r>
        <w:rPr>
          <w:i/>
          <w:iCs/>
        </w:rPr>
        <w:t>9.</w:t>
      </w:r>
    </w:p>
    <w:p w14:paraId="5F28F5A5" w14:textId="7FDF23E4" w:rsidR="00FB33C7" w:rsidRDefault="00AC7682" w:rsidP="005704AB">
      <w:pPr>
        <w:ind w:left="720"/>
      </w:pPr>
      <w:r>
        <w:rPr>
          <w:noProof/>
        </w:rPr>
        <w:drawing>
          <wp:anchor distT="0" distB="0" distL="114300" distR="114300" simplePos="0" relativeHeight="251669504" behindDoc="0" locked="0" layoutInCell="1" allowOverlap="1" wp14:anchorId="5A918727" wp14:editId="2331C830">
            <wp:simplePos x="0" y="0"/>
            <wp:positionH relativeFrom="margin">
              <wp:align>center</wp:align>
            </wp:positionH>
            <wp:positionV relativeFrom="paragraph">
              <wp:posOffset>35560</wp:posOffset>
            </wp:positionV>
            <wp:extent cx="4524375" cy="2857500"/>
            <wp:effectExtent l="0" t="0" r="9525" b="0"/>
            <wp:wrapSquare wrapText="bothSides"/>
            <wp:docPr id="18" name="Chart 18">
              <a:extLst xmlns:a="http://schemas.openxmlformats.org/drawingml/2006/main">
                <a:ext uri="{FF2B5EF4-FFF2-40B4-BE49-F238E27FC236}">
                  <a16:creationId xmlns:a16="http://schemas.microsoft.com/office/drawing/2014/main" id="{C0D99ABC-6B29-4B46-81AC-E488D86EB2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p>
    <w:p w14:paraId="250722B3" w14:textId="54FBB2A0" w:rsidR="00FB33C7" w:rsidRDefault="00FB33C7" w:rsidP="005704AB">
      <w:pPr>
        <w:ind w:left="720"/>
      </w:pPr>
    </w:p>
    <w:p w14:paraId="695A2F77" w14:textId="241F4B45" w:rsidR="00AC7682" w:rsidRDefault="00AC7682" w:rsidP="00CE13AC">
      <w:pPr>
        <w:pStyle w:val="Heading1"/>
      </w:pPr>
      <w:bookmarkStart w:id="17" w:name="_Toc380156865"/>
    </w:p>
    <w:p w14:paraId="5F97595A" w14:textId="4C4BAFE1" w:rsidR="00AC7682" w:rsidRDefault="00AC7682" w:rsidP="00AC7682"/>
    <w:p w14:paraId="0EA730F2" w14:textId="3F0D5E19" w:rsidR="00AC7682" w:rsidRDefault="00AC7682" w:rsidP="00AC7682"/>
    <w:p w14:paraId="7EDFC908" w14:textId="77777777" w:rsidR="00AC7682" w:rsidRPr="00AC7682" w:rsidRDefault="00AC7682" w:rsidP="00AC7682"/>
    <w:p w14:paraId="6136C45B" w14:textId="77777777" w:rsidR="00EE6430" w:rsidRDefault="00EE6430" w:rsidP="00EE6430">
      <w:pPr>
        <w:ind w:left="720"/>
        <w:rPr>
          <w:b/>
          <w:bCs/>
          <w:i/>
          <w:iCs/>
        </w:rPr>
      </w:pPr>
    </w:p>
    <w:p w14:paraId="635CDD08" w14:textId="77777777" w:rsidR="00EE6430" w:rsidRDefault="00EE6430" w:rsidP="00EE6430">
      <w:pPr>
        <w:ind w:left="720"/>
        <w:rPr>
          <w:b/>
          <w:bCs/>
          <w:i/>
          <w:iCs/>
        </w:rPr>
      </w:pPr>
    </w:p>
    <w:p w14:paraId="7E65AC4B" w14:textId="77777777" w:rsidR="00EE6430" w:rsidRDefault="00EE6430" w:rsidP="00EE6430">
      <w:pPr>
        <w:ind w:left="720"/>
        <w:rPr>
          <w:b/>
          <w:bCs/>
          <w:i/>
          <w:iCs/>
        </w:rPr>
      </w:pPr>
    </w:p>
    <w:p w14:paraId="2BA25B5B" w14:textId="77777777" w:rsidR="00EE6430" w:rsidRDefault="00EE6430" w:rsidP="00EE6430">
      <w:pPr>
        <w:ind w:left="720"/>
        <w:rPr>
          <w:b/>
          <w:bCs/>
          <w:i/>
          <w:iCs/>
        </w:rPr>
      </w:pPr>
    </w:p>
    <w:p w14:paraId="65B0F5CE" w14:textId="77777777" w:rsidR="00EE6430" w:rsidRDefault="00EE6430" w:rsidP="00EE6430">
      <w:pPr>
        <w:ind w:left="720"/>
        <w:rPr>
          <w:b/>
          <w:bCs/>
          <w:i/>
          <w:iCs/>
        </w:rPr>
      </w:pPr>
    </w:p>
    <w:p w14:paraId="40B3C1CD" w14:textId="77777777" w:rsidR="00EE6430" w:rsidRDefault="00EE6430" w:rsidP="00EE6430">
      <w:pPr>
        <w:ind w:left="720"/>
        <w:rPr>
          <w:b/>
          <w:bCs/>
          <w:i/>
          <w:iCs/>
        </w:rPr>
      </w:pPr>
    </w:p>
    <w:p w14:paraId="74C7EFC1" w14:textId="77777777" w:rsidR="00EE6430" w:rsidRDefault="00EE6430" w:rsidP="00EE6430">
      <w:pPr>
        <w:ind w:left="720"/>
        <w:rPr>
          <w:b/>
          <w:bCs/>
          <w:i/>
          <w:iCs/>
        </w:rPr>
      </w:pPr>
    </w:p>
    <w:p w14:paraId="501CB459" w14:textId="77777777" w:rsidR="00EE6430" w:rsidRDefault="00EE6430" w:rsidP="00EE6430">
      <w:pPr>
        <w:ind w:left="720"/>
        <w:rPr>
          <w:b/>
          <w:bCs/>
          <w:i/>
          <w:iCs/>
        </w:rPr>
      </w:pPr>
    </w:p>
    <w:p w14:paraId="39695610" w14:textId="77777777" w:rsidR="00EE6430" w:rsidRDefault="00EE6430" w:rsidP="00EE6430">
      <w:pPr>
        <w:ind w:left="720"/>
        <w:rPr>
          <w:b/>
          <w:bCs/>
          <w:i/>
          <w:iCs/>
        </w:rPr>
      </w:pPr>
    </w:p>
    <w:p w14:paraId="35140327" w14:textId="77777777" w:rsidR="00EE6430" w:rsidRDefault="00EE6430" w:rsidP="00EE6430">
      <w:pPr>
        <w:ind w:left="720"/>
        <w:rPr>
          <w:b/>
          <w:bCs/>
          <w:i/>
          <w:iCs/>
        </w:rPr>
      </w:pPr>
    </w:p>
    <w:p w14:paraId="6445C505" w14:textId="77777777" w:rsidR="00EE6430" w:rsidRDefault="00EE6430" w:rsidP="00EE6430">
      <w:pPr>
        <w:ind w:left="720"/>
        <w:rPr>
          <w:b/>
          <w:bCs/>
          <w:i/>
          <w:iCs/>
        </w:rPr>
      </w:pPr>
    </w:p>
    <w:p w14:paraId="351CBA69" w14:textId="08481454" w:rsidR="00EE6430" w:rsidRDefault="00611882" w:rsidP="00EE6430">
      <w:r>
        <w:rPr>
          <w:noProof/>
        </w:rPr>
        <w:drawing>
          <wp:anchor distT="0" distB="0" distL="114300" distR="114300" simplePos="0" relativeHeight="251684864" behindDoc="0" locked="0" layoutInCell="1" allowOverlap="1" wp14:anchorId="20852347" wp14:editId="564C69B0">
            <wp:simplePos x="0" y="0"/>
            <wp:positionH relativeFrom="margin">
              <wp:posOffset>2971800</wp:posOffset>
            </wp:positionH>
            <wp:positionV relativeFrom="margin">
              <wp:posOffset>313690</wp:posOffset>
            </wp:positionV>
            <wp:extent cx="2985770" cy="2162175"/>
            <wp:effectExtent l="0" t="0" r="5080" b="9525"/>
            <wp:wrapSquare wrapText="bothSides"/>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985770" cy="2162175"/>
                    </a:xfrm>
                    <a:prstGeom prst="rect">
                      <a:avLst/>
                    </a:prstGeom>
                    <a:noFill/>
                  </pic:spPr>
                </pic:pic>
              </a:graphicData>
            </a:graphic>
            <wp14:sizeRelV relativeFrom="margin">
              <wp14:pctHeight>0</wp14:pctHeight>
            </wp14:sizeRelV>
          </wp:anchor>
        </w:drawing>
      </w:r>
      <w:r>
        <w:rPr>
          <w:noProof/>
        </w:rPr>
        <w:drawing>
          <wp:anchor distT="0" distB="0" distL="114300" distR="114300" simplePos="0" relativeHeight="251683840" behindDoc="0" locked="0" layoutInCell="1" allowOverlap="1" wp14:anchorId="309FA8A3" wp14:editId="5B303963">
            <wp:simplePos x="0" y="0"/>
            <wp:positionH relativeFrom="margin">
              <wp:posOffset>-76200</wp:posOffset>
            </wp:positionH>
            <wp:positionV relativeFrom="margin">
              <wp:posOffset>313055</wp:posOffset>
            </wp:positionV>
            <wp:extent cx="3087370" cy="2162175"/>
            <wp:effectExtent l="0" t="0" r="0" b="9525"/>
            <wp:wrapSquare wrapText="bothSides"/>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87370" cy="2162175"/>
                    </a:xfrm>
                    <a:prstGeom prst="rect">
                      <a:avLst/>
                    </a:prstGeom>
                    <a:noFill/>
                  </pic:spPr>
                </pic:pic>
              </a:graphicData>
            </a:graphic>
            <wp14:sizeRelH relativeFrom="margin">
              <wp14:pctWidth>0</wp14:pctWidth>
            </wp14:sizeRelH>
            <wp14:sizeRelV relativeFrom="margin">
              <wp14:pctHeight>0</wp14:pctHeight>
            </wp14:sizeRelV>
          </wp:anchor>
        </w:drawing>
      </w:r>
      <w:bookmarkStart w:id="18" w:name="_Hlk37415310"/>
      <w:r w:rsidR="00EE6430" w:rsidRPr="00FB33C7">
        <w:rPr>
          <w:b/>
          <w:bCs/>
          <w:i/>
          <w:iCs/>
        </w:rPr>
        <w:t xml:space="preserve">Figure </w:t>
      </w:r>
      <w:r w:rsidR="00EE6430">
        <w:rPr>
          <w:b/>
          <w:bCs/>
          <w:i/>
          <w:iCs/>
        </w:rPr>
        <w:t>10</w:t>
      </w:r>
      <w:r w:rsidR="00EE6430" w:rsidRPr="00FB33C7">
        <w:rPr>
          <w:b/>
          <w:bCs/>
          <w:i/>
          <w:iCs/>
        </w:rPr>
        <w:t>.</w:t>
      </w:r>
      <w:r w:rsidR="00EE6430" w:rsidRPr="00FB33C7">
        <w:rPr>
          <w:i/>
          <w:iCs/>
        </w:rPr>
        <w:t xml:space="preserve"> Total Phosphorus levels across the UMOWA sites </w:t>
      </w:r>
      <w:r w:rsidR="00EE6430">
        <w:rPr>
          <w:i/>
          <w:iCs/>
        </w:rPr>
        <w:t>between 2016 and</w:t>
      </w:r>
      <w:r w:rsidR="00EE6430" w:rsidRPr="00FB33C7">
        <w:rPr>
          <w:i/>
          <w:iCs/>
        </w:rPr>
        <w:t xml:space="preserve"> 201</w:t>
      </w:r>
      <w:r w:rsidR="00EE6430">
        <w:rPr>
          <w:i/>
          <w:iCs/>
        </w:rPr>
        <w:t>9</w:t>
      </w:r>
      <w:bookmarkEnd w:id="18"/>
      <w:r w:rsidR="00EE6430">
        <w:rPr>
          <w:i/>
          <w:iCs/>
        </w:rPr>
        <w:t>.</w:t>
      </w:r>
    </w:p>
    <w:p w14:paraId="642096A3" w14:textId="50408573" w:rsidR="00AC7682" w:rsidRDefault="00A8613B" w:rsidP="00CE13AC">
      <w:pPr>
        <w:pStyle w:val="Heading1"/>
      </w:pPr>
      <w:r>
        <w:rPr>
          <w:noProof/>
        </w:rPr>
        <w:drawing>
          <wp:anchor distT="0" distB="0" distL="114300" distR="114300" simplePos="0" relativeHeight="251685888" behindDoc="0" locked="0" layoutInCell="1" allowOverlap="1" wp14:anchorId="245CDEFA" wp14:editId="04FFD31C">
            <wp:simplePos x="0" y="0"/>
            <wp:positionH relativeFrom="margin">
              <wp:posOffset>914400</wp:posOffset>
            </wp:positionH>
            <wp:positionV relativeFrom="page">
              <wp:posOffset>3362325</wp:posOffset>
            </wp:positionV>
            <wp:extent cx="3638550" cy="2643505"/>
            <wp:effectExtent l="0" t="0" r="0" b="4445"/>
            <wp:wrapSquare wrapText="bothSides"/>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638550" cy="2643505"/>
                    </a:xfrm>
                    <a:prstGeom prst="rect">
                      <a:avLst/>
                    </a:prstGeom>
                    <a:noFill/>
                  </pic:spPr>
                </pic:pic>
              </a:graphicData>
            </a:graphic>
            <wp14:sizeRelH relativeFrom="margin">
              <wp14:pctWidth>0</wp14:pctWidth>
            </wp14:sizeRelH>
            <wp14:sizeRelV relativeFrom="margin">
              <wp14:pctHeight>0</wp14:pctHeight>
            </wp14:sizeRelV>
          </wp:anchor>
        </w:drawing>
      </w:r>
    </w:p>
    <w:p w14:paraId="16CBD10B" w14:textId="793001CB" w:rsidR="00AC7682" w:rsidRDefault="00AC7682" w:rsidP="00CE13AC">
      <w:pPr>
        <w:pStyle w:val="Heading1"/>
      </w:pPr>
    </w:p>
    <w:p w14:paraId="5304764D" w14:textId="502976C3" w:rsidR="00611882" w:rsidRDefault="00611882" w:rsidP="00CE13AC">
      <w:pPr>
        <w:pStyle w:val="Heading1"/>
      </w:pPr>
    </w:p>
    <w:p w14:paraId="1458C5BF" w14:textId="409F73BA" w:rsidR="00611882" w:rsidRDefault="00611882" w:rsidP="00CE13AC">
      <w:pPr>
        <w:pStyle w:val="Heading1"/>
      </w:pPr>
    </w:p>
    <w:p w14:paraId="1CAB027D" w14:textId="0F910F5D" w:rsidR="00611882" w:rsidRDefault="00611882" w:rsidP="00CE13AC">
      <w:pPr>
        <w:pStyle w:val="Heading1"/>
      </w:pPr>
    </w:p>
    <w:p w14:paraId="3C422ACB" w14:textId="35674F84" w:rsidR="00A8613B" w:rsidRDefault="00A8613B">
      <w:pPr>
        <w:rPr>
          <w:rFonts w:asciiTheme="majorHAnsi" w:eastAsiaTheme="majorEastAsia" w:hAnsiTheme="majorHAnsi" w:cstheme="majorBidi"/>
          <w:b/>
          <w:bCs/>
          <w:color w:val="345A8A" w:themeColor="accent1" w:themeShade="B5"/>
          <w:sz w:val="32"/>
          <w:szCs w:val="32"/>
        </w:rPr>
      </w:pPr>
      <w:r>
        <w:rPr>
          <w:noProof/>
        </w:rPr>
        <w:drawing>
          <wp:anchor distT="0" distB="0" distL="114300" distR="114300" simplePos="0" relativeHeight="251686912" behindDoc="0" locked="0" layoutInCell="1" allowOverlap="1" wp14:anchorId="39852049" wp14:editId="576245F5">
            <wp:simplePos x="0" y="0"/>
            <wp:positionH relativeFrom="margin">
              <wp:align>center</wp:align>
            </wp:positionH>
            <wp:positionV relativeFrom="margin">
              <wp:posOffset>5257165</wp:posOffset>
            </wp:positionV>
            <wp:extent cx="3649345" cy="2584706"/>
            <wp:effectExtent l="0" t="0" r="8255" b="6350"/>
            <wp:wrapSquare wrapText="bothSides"/>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649345" cy="2584706"/>
                    </a:xfrm>
                    <a:prstGeom prst="rect">
                      <a:avLst/>
                    </a:prstGeom>
                    <a:noFill/>
                  </pic:spPr>
                </pic:pic>
              </a:graphicData>
            </a:graphic>
          </wp:anchor>
        </w:drawing>
      </w:r>
      <w:r>
        <w:br w:type="page"/>
      </w:r>
    </w:p>
    <w:p w14:paraId="3EE641CB" w14:textId="55135131" w:rsidR="00A8613B" w:rsidRDefault="00A8613B" w:rsidP="00CE13AC">
      <w:pPr>
        <w:pStyle w:val="Heading1"/>
        <w:rPr>
          <w:rFonts w:asciiTheme="minorHAnsi" w:hAnsiTheme="minorHAnsi"/>
          <w:b w:val="0"/>
          <w:bCs w:val="0"/>
          <w:i/>
          <w:iCs/>
          <w:color w:val="000000" w:themeColor="text1"/>
          <w:sz w:val="24"/>
          <w:szCs w:val="24"/>
        </w:rPr>
      </w:pPr>
      <w:r w:rsidRPr="00A8613B">
        <w:rPr>
          <w:rFonts w:asciiTheme="minorHAnsi" w:hAnsiTheme="minorHAnsi"/>
          <w:i/>
          <w:iCs/>
          <w:color w:val="000000" w:themeColor="text1"/>
          <w:sz w:val="24"/>
          <w:szCs w:val="24"/>
        </w:rPr>
        <w:t xml:space="preserve">Figure 10. cont. </w:t>
      </w:r>
      <w:r w:rsidRPr="00A8613B">
        <w:rPr>
          <w:rFonts w:asciiTheme="minorHAnsi" w:hAnsiTheme="minorHAnsi"/>
          <w:b w:val="0"/>
          <w:bCs w:val="0"/>
          <w:i/>
          <w:iCs/>
          <w:color w:val="000000" w:themeColor="text1"/>
          <w:sz w:val="24"/>
          <w:szCs w:val="24"/>
        </w:rPr>
        <w:t>Total Phosphorus levels across UMOWA sites between 2016 and 2019</w:t>
      </w:r>
    </w:p>
    <w:p w14:paraId="5A238CB6" w14:textId="611EA934" w:rsidR="00A8613B" w:rsidRPr="00A8613B" w:rsidRDefault="00A8613B" w:rsidP="00A8613B">
      <w:r>
        <w:rPr>
          <w:noProof/>
        </w:rPr>
        <w:drawing>
          <wp:anchor distT="0" distB="0" distL="114300" distR="114300" simplePos="0" relativeHeight="251687936" behindDoc="0" locked="0" layoutInCell="1" allowOverlap="1" wp14:anchorId="4B0992B4" wp14:editId="6A1E0E1D">
            <wp:simplePos x="0" y="0"/>
            <wp:positionH relativeFrom="margin">
              <wp:align>center</wp:align>
            </wp:positionH>
            <wp:positionV relativeFrom="margin">
              <wp:posOffset>323215</wp:posOffset>
            </wp:positionV>
            <wp:extent cx="3781425" cy="2543175"/>
            <wp:effectExtent l="0" t="0" r="9525" b="9525"/>
            <wp:wrapSquare wrapText="bothSides"/>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781425" cy="2543175"/>
                    </a:xfrm>
                    <a:prstGeom prst="rect">
                      <a:avLst/>
                    </a:prstGeom>
                    <a:noFill/>
                  </pic:spPr>
                </pic:pic>
              </a:graphicData>
            </a:graphic>
            <wp14:sizeRelH relativeFrom="margin">
              <wp14:pctWidth>0</wp14:pctWidth>
            </wp14:sizeRelH>
            <wp14:sizeRelV relativeFrom="margin">
              <wp14:pctHeight>0</wp14:pctHeight>
            </wp14:sizeRelV>
          </wp:anchor>
        </w:drawing>
      </w:r>
    </w:p>
    <w:p w14:paraId="044EEDCD" w14:textId="1AB7A5DE" w:rsidR="00A8613B" w:rsidRDefault="00766E7B">
      <w:pPr>
        <w:rPr>
          <w:rFonts w:asciiTheme="majorHAnsi" w:eastAsiaTheme="majorEastAsia" w:hAnsiTheme="majorHAnsi" w:cstheme="majorBidi"/>
          <w:b/>
          <w:bCs/>
          <w:color w:val="345A8A" w:themeColor="accent1" w:themeShade="B5"/>
          <w:sz w:val="32"/>
          <w:szCs w:val="32"/>
        </w:rPr>
      </w:pPr>
      <w:r>
        <w:rPr>
          <w:noProof/>
        </w:rPr>
        <w:drawing>
          <wp:anchor distT="0" distB="0" distL="114300" distR="114300" simplePos="0" relativeHeight="251688960" behindDoc="0" locked="0" layoutInCell="1" allowOverlap="1" wp14:anchorId="3975DA2D" wp14:editId="1262F99D">
            <wp:simplePos x="0" y="0"/>
            <wp:positionH relativeFrom="margin">
              <wp:align>center</wp:align>
            </wp:positionH>
            <wp:positionV relativeFrom="margin">
              <wp:posOffset>5628640</wp:posOffset>
            </wp:positionV>
            <wp:extent cx="3790950" cy="2778125"/>
            <wp:effectExtent l="0" t="0" r="0" b="3175"/>
            <wp:wrapSquare wrapText="bothSides"/>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790950" cy="277812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9984" behindDoc="0" locked="0" layoutInCell="1" allowOverlap="1" wp14:anchorId="6DF272C4" wp14:editId="17774E32">
            <wp:simplePos x="0" y="0"/>
            <wp:positionH relativeFrom="margin">
              <wp:align>center</wp:align>
            </wp:positionH>
            <wp:positionV relativeFrom="margin">
              <wp:posOffset>2938145</wp:posOffset>
            </wp:positionV>
            <wp:extent cx="3750310" cy="2524125"/>
            <wp:effectExtent l="0" t="0" r="2540" b="9525"/>
            <wp:wrapSquare wrapText="bothSides"/>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750310" cy="2524125"/>
                    </a:xfrm>
                    <a:prstGeom prst="rect">
                      <a:avLst/>
                    </a:prstGeom>
                    <a:noFill/>
                  </pic:spPr>
                </pic:pic>
              </a:graphicData>
            </a:graphic>
            <wp14:sizeRelH relativeFrom="margin">
              <wp14:pctWidth>0</wp14:pctWidth>
            </wp14:sizeRelH>
            <wp14:sizeRelV relativeFrom="margin">
              <wp14:pctHeight>0</wp14:pctHeight>
            </wp14:sizeRelV>
          </wp:anchor>
        </w:drawing>
      </w:r>
      <w:r w:rsidR="00A8613B">
        <w:br w:type="page"/>
      </w:r>
    </w:p>
    <w:p w14:paraId="3D11FBCB" w14:textId="684D9B62" w:rsidR="00CE13AC" w:rsidRDefault="00CE13AC" w:rsidP="00CE13AC">
      <w:pPr>
        <w:pStyle w:val="Heading1"/>
      </w:pPr>
      <w:r>
        <w:t>4</w:t>
      </w:r>
      <w:r w:rsidRPr="00E920CB">
        <w:t xml:space="preserve">.0 </w:t>
      </w:r>
      <w:r w:rsidR="008C78FA">
        <w:t>Discussion</w:t>
      </w:r>
      <w:bookmarkEnd w:id="17"/>
    </w:p>
    <w:p w14:paraId="57D6AF74" w14:textId="3A6B11CA" w:rsidR="008C78FA" w:rsidRPr="00A8613B" w:rsidRDefault="008C78FA" w:rsidP="008C78FA">
      <w:pPr>
        <w:pStyle w:val="Heading2"/>
        <w:rPr>
          <w:color w:val="1F497D" w:themeColor="text2"/>
        </w:rPr>
      </w:pPr>
      <w:bookmarkStart w:id="19" w:name="_Toc380156866"/>
      <w:r w:rsidRPr="00A8613B">
        <w:rPr>
          <w:color w:val="1F497D" w:themeColor="text2"/>
        </w:rPr>
        <w:t>4.1 Spatial Trends</w:t>
      </w:r>
      <w:bookmarkEnd w:id="19"/>
    </w:p>
    <w:p w14:paraId="59A21777" w14:textId="77777777" w:rsidR="008C78FA" w:rsidRDefault="008C78FA" w:rsidP="008C78FA"/>
    <w:p w14:paraId="75F56A64" w14:textId="0CB175B6" w:rsidR="00CE13AC" w:rsidRPr="008706D0" w:rsidRDefault="008C78FA" w:rsidP="00DB1B32">
      <w:pPr>
        <w:jc w:val="both"/>
      </w:pPr>
      <w:r>
        <w:t xml:space="preserve">When comparing </w:t>
      </w:r>
      <w:r w:rsidR="00A8613B">
        <w:t xml:space="preserve">Missouri River </w:t>
      </w:r>
      <w:r>
        <w:t>upstream sites</w:t>
      </w:r>
      <w:r w:rsidR="00A8613B">
        <w:t xml:space="preserve"> closer to Holter Dam</w:t>
      </w:r>
      <w:r>
        <w:t xml:space="preserve"> to downstream sites, no strong trends were observed for any of the </w:t>
      </w:r>
      <w:r w:rsidR="002F17A4">
        <w:t xml:space="preserve">measured </w:t>
      </w:r>
      <w:r w:rsidR="00EF5E61">
        <w:t>parameters</w:t>
      </w:r>
      <w:r>
        <w:t xml:space="preserve"> </w:t>
      </w:r>
      <w:r w:rsidR="00EF5E61">
        <w:t>in 2018</w:t>
      </w:r>
      <w:r w:rsidR="00495FF8">
        <w:t>, except below the tributaries</w:t>
      </w:r>
      <w:r w:rsidR="003844EB">
        <w:t>.</w:t>
      </w:r>
      <w:r w:rsidR="00EF5E61">
        <w:t xml:space="preserve"> </w:t>
      </w:r>
      <w:r w:rsidR="003844EB">
        <w:t xml:space="preserve">When </w:t>
      </w:r>
      <w:r w:rsidR="003844EB" w:rsidRPr="003844EB">
        <w:t xml:space="preserve">nutrients </w:t>
      </w:r>
      <w:r w:rsidR="003844EB">
        <w:t>we</w:t>
      </w:r>
      <w:r w:rsidR="003844EB" w:rsidRPr="003844EB">
        <w:t xml:space="preserve">re exceeding the DEQ nutrient thresholds, they are elevated from </w:t>
      </w:r>
      <w:r w:rsidR="003844EB">
        <w:t>u</w:t>
      </w:r>
      <w:r w:rsidR="003844EB" w:rsidRPr="003844EB">
        <w:t>pstream of Little Prickly Pear</w:t>
      </w:r>
      <w:r w:rsidR="008C3EDD">
        <w:t xml:space="preserve"> Creek</w:t>
      </w:r>
      <w:r w:rsidR="003844EB" w:rsidRPr="003844EB">
        <w:t xml:space="preserve"> all the way down to Cascade, usually at close to the same conc</w:t>
      </w:r>
      <w:r w:rsidR="003844EB">
        <w:t>entration</w:t>
      </w:r>
      <w:r w:rsidR="003844EB" w:rsidRPr="003844EB">
        <w:t xml:space="preserve"> level</w:t>
      </w:r>
      <w:r w:rsidR="003844EB">
        <w:t xml:space="preserve"> (</w:t>
      </w:r>
      <w:r w:rsidR="003844EB" w:rsidRPr="00495FF8">
        <w:rPr>
          <w:b/>
          <w:bCs/>
        </w:rPr>
        <w:t>Figure 6 &amp; 8</w:t>
      </w:r>
      <w:r w:rsidR="003844EB">
        <w:t xml:space="preserve">). There </w:t>
      </w:r>
      <w:r w:rsidR="008C3EDD">
        <w:t>we</w:t>
      </w:r>
      <w:r w:rsidR="003844EB">
        <w:t xml:space="preserve">re no </w:t>
      </w:r>
      <w:r w:rsidR="00495FF8">
        <w:t>documen</w:t>
      </w:r>
      <w:r w:rsidR="003844EB">
        <w:t>ted “</w:t>
      </w:r>
      <w:r w:rsidR="003844EB" w:rsidRPr="003844EB">
        <w:t xml:space="preserve">big </w:t>
      </w:r>
      <w:r w:rsidR="003844EB">
        <w:t>spikes or dips</w:t>
      </w:r>
      <w:r w:rsidR="008C3EDD">
        <w:t>”</w:t>
      </w:r>
      <w:r w:rsidR="003844EB">
        <w:t xml:space="preserve"> between sites </w:t>
      </w:r>
      <w:r w:rsidR="003844EB" w:rsidRPr="003844EB">
        <w:t>unless a tributary comes in an dilutes</w:t>
      </w:r>
      <w:r w:rsidR="003844EB">
        <w:t xml:space="preserve"> levels</w:t>
      </w:r>
      <w:r w:rsidR="003844EB" w:rsidRPr="003844EB">
        <w:t xml:space="preserve"> down for a kilometer of 2</w:t>
      </w:r>
      <w:r w:rsidR="00495FF8">
        <w:t>km</w:t>
      </w:r>
      <w:r w:rsidR="003844EB" w:rsidRPr="003844EB">
        <w:t xml:space="preserve"> until </w:t>
      </w:r>
      <w:r w:rsidR="00495FF8">
        <w:t xml:space="preserve">full </w:t>
      </w:r>
      <w:r w:rsidR="003844EB" w:rsidRPr="003844EB">
        <w:t>mix</w:t>
      </w:r>
      <w:r w:rsidR="00495FF8">
        <w:t>ing occurs</w:t>
      </w:r>
      <w:r w:rsidR="003844EB" w:rsidRPr="003844EB">
        <w:t xml:space="preserve">, then </w:t>
      </w:r>
      <w:r w:rsidR="00495FF8">
        <w:t xml:space="preserve">nutrient levels </w:t>
      </w:r>
      <w:r w:rsidR="003844EB" w:rsidRPr="003844EB">
        <w:t xml:space="preserve">go right back up. </w:t>
      </w:r>
      <w:r w:rsidR="00495FF8">
        <w:t xml:space="preserve"> </w:t>
      </w:r>
      <w:r w:rsidR="003844EB">
        <w:t>There were a c</w:t>
      </w:r>
      <w:r w:rsidR="0011000D">
        <w:t xml:space="preserve">ouple </w:t>
      </w:r>
      <w:r w:rsidR="003844EB">
        <w:t xml:space="preserve">of </w:t>
      </w:r>
      <w:r>
        <w:t>notable exception</w:t>
      </w:r>
      <w:r w:rsidR="0011000D">
        <w:t>s</w:t>
      </w:r>
      <w:r w:rsidR="00495FF8">
        <w:t xml:space="preserve">; the </w:t>
      </w:r>
      <w:r w:rsidR="00AD2C6F">
        <w:t>Missouri River samples taken below</w:t>
      </w:r>
      <w:r w:rsidR="00782FB8">
        <w:t xml:space="preserve"> Little Prickly Pear Creek and the Dearborn River </w:t>
      </w:r>
      <w:r w:rsidR="00AD2C6F">
        <w:t>report</w:t>
      </w:r>
      <w:r w:rsidR="00071380">
        <w:t>ed</w:t>
      </w:r>
      <w:r w:rsidR="00AD2C6F">
        <w:t xml:space="preserve"> </w:t>
      </w:r>
      <w:r w:rsidR="00782FB8">
        <w:t xml:space="preserve">reduced nutrient levels below </w:t>
      </w:r>
      <w:r w:rsidR="00071380">
        <w:t>M</w:t>
      </w:r>
      <w:r w:rsidR="00782FB8">
        <w:t>DEQ nutrient standards in all season</w:t>
      </w:r>
      <w:r w:rsidR="00AD2C6F">
        <w:t>s,</w:t>
      </w:r>
      <w:r w:rsidR="00782FB8">
        <w:t xml:space="preserve"> except June 2018.  </w:t>
      </w:r>
      <w:r w:rsidR="00561026">
        <w:t>During October</w:t>
      </w:r>
      <w:r w:rsidR="00A902F7">
        <w:t xml:space="preserve"> 2018</w:t>
      </w:r>
      <w:r w:rsidR="00561026">
        <w:t>, t</w:t>
      </w:r>
      <w:r>
        <w:t xml:space="preserve">he </w:t>
      </w:r>
      <w:r w:rsidR="00EF5E61">
        <w:t>MO_DEAR</w:t>
      </w:r>
      <w:r w:rsidR="006C45CA">
        <w:t>_</w:t>
      </w:r>
      <w:r>
        <w:t xml:space="preserve">DS site yielded </w:t>
      </w:r>
      <w:r w:rsidR="008C3EDD">
        <w:t>very low</w:t>
      </w:r>
      <w:r>
        <w:t xml:space="preserve"> </w:t>
      </w:r>
      <w:r w:rsidR="00EF5E61">
        <w:t xml:space="preserve">TP (non-detectable) </w:t>
      </w:r>
      <w:r>
        <w:t>concentrations</w:t>
      </w:r>
      <w:r w:rsidR="00766E7B">
        <w:t xml:space="preserve"> (</w:t>
      </w:r>
      <w:r w:rsidR="00766E7B" w:rsidRPr="00E40FFF">
        <w:rPr>
          <w:b/>
          <w:bCs/>
        </w:rPr>
        <w:t xml:space="preserve">Figure </w:t>
      </w:r>
      <w:r w:rsidR="00E40FFF" w:rsidRPr="00E40FFF">
        <w:rPr>
          <w:b/>
          <w:bCs/>
        </w:rPr>
        <w:t>10</w:t>
      </w:r>
      <w:r w:rsidR="00E40FFF">
        <w:t>)</w:t>
      </w:r>
      <w:r>
        <w:t xml:space="preserve">. </w:t>
      </w:r>
      <w:r w:rsidR="00DB1B32">
        <w:t xml:space="preserve"> </w:t>
      </w:r>
      <w:r w:rsidR="00A902F7">
        <w:t xml:space="preserve"> </w:t>
      </w:r>
      <w:r w:rsidR="00DB1B32">
        <w:t>In October 2019, a slight declining trend in TP concentrations was noted</w:t>
      </w:r>
      <w:r w:rsidR="00DB1B32" w:rsidRPr="00DB1B32">
        <w:t xml:space="preserve"> </w:t>
      </w:r>
      <w:r w:rsidR="00DB1B32">
        <w:t>between the u/s sites to d/s (</w:t>
      </w:r>
      <w:r w:rsidR="00DB1B32" w:rsidRPr="00E40FFF">
        <w:rPr>
          <w:b/>
          <w:bCs/>
        </w:rPr>
        <w:t xml:space="preserve">Figure </w:t>
      </w:r>
      <w:r w:rsidR="00E40FFF" w:rsidRPr="00E40FFF">
        <w:rPr>
          <w:b/>
          <w:bCs/>
        </w:rPr>
        <w:t>9</w:t>
      </w:r>
      <w:r w:rsidR="00DB1B32">
        <w:t xml:space="preserve">). </w:t>
      </w:r>
      <w:r w:rsidR="00EF5E61">
        <w:t xml:space="preserve"> </w:t>
      </w:r>
      <w:r w:rsidR="00561026">
        <w:t>C</w:t>
      </w:r>
      <w:r>
        <w:t>oncentrations of all three nutrient</w:t>
      </w:r>
      <w:r w:rsidR="00E40FFF">
        <w:t xml:space="preserve"> parameters</w:t>
      </w:r>
      <w:r>
        <w:t xml:space="preserve"> (</w:t>
      </w:r>
      <w:r w:rsidR="008C3EDD">
        <w:t>NN</w:t>
      </w:r>
      <w:r>
        <w:t xml:space="preserve">, </w:t>
      </w:r>
      <w:r w:rsidR="00E40FFF">
        <w:t>TN and TP</w:t>
      </w:r>
      <w:r>
        <w:t xml:space="preserve">) were much lower </w:t>
      </w:r>
      <w:r w:rsidR="00282AD6">
        <w:t>at</w:t>
      </w:r>
      <w:r w:rsidR="00E40FFF" w:rsidRPr="00E40FFF">
        <w:t xml:space="preserve"> </w:t>
      </w:r>
      <w:r w:rsidR="00E40FFF">
        <w:t xml:space="preserve">the MO_DEAR_DS site </w:t>
      </w:r>
      <w:r>
        <w:t xml:space="preserve">than </w:t>
      </w:r>
      <w:r w:rsidR="00282AD6">
        <w:t>elsewhere</w:t>
      </w:r>
      <w:r>
        <w:t xml:space="preserve"> during the same time period. </w:t>
      </w:r>
      <w:r w:rsidR="00EF5E61">
        <w:t xml:space="preserve"> </w:t>
      </w:r>
      <w:r>
        <w:t xml:space="preserve">This </w:t>
      </w:r>
      <w:r w:rsidR="00E40FFF">
        <w:t xml:space="preserve">strongly </w:t>
      </w:r>
      <w:r>
        <w:t>suggests that the</w:t>
      </w:r>
      <w:r w:rsidR="00E40FFF">
        <w:t xml:space="preserve"> Dearborn River</w:t>
      </w:r>
      <w:r>
        <w:t xml:space="preserve"> discharge </w:t>
      </w:r>
      <w:r w:rsidR="00E40FFF">
        <w:t>i</w:t>
      </w:r>
      <w:r>
        <w:t>s</w:t>
      </w:r>
      <w:r w:rsidR="008706D0">
        <w:t xml:space="preserve"> creating a localized </w:t>
      </w:r>
      <w:r w:rsidR="001D26CB">
        <w:t>reduction</w:t>
      </w:r>
      <w:r w:rsidR="008706D0">
        <w:t xml:space="preserve"> </w:t>
      </w:r>
      <w:r w:rsidR="001D26CB">
        <w:t>in</w:t>
      </w:r>
      <w:r w:rsidR="008706D0">
        <w:t xml:space="preserve"> nutrient levels downstream of its </w:t>
      </w:r>
      <w:r w:rsidR="00EF5E61">
        <w:t>confluence</w:t>
      </w:r>
      <w:r w:rsidR="008706D0">
        <w:t xml:space="preserve"> during </w:t>
      </w:r>
      <w:r w:rsidR="00E40FFF">
        <w:t>all seasons (</w:t>
      </w:r>
      <w:r w:rsidR="00E40FFF" w:rsidRPr="00E40FFF">
        <w:rPr>
          <w:b/>
          <w:bCs/>
        </w:rPr>
        <w:t>Figure 6 &amp; 8</w:t>
      </w:r>
      <w:r w:rsidR="00E40FFF">
        <w:t>)</w:t>
      </w:r>
      <w:r w:rsidR="008706D0">
        <w:t>.</w:t>
      </w:r>
    </w:p>
    <w:p w14:paraId="34A4443D" w14:textId="39194DA1" w:rsidR="004728A8" w:rsidRDefault="004728A8" w:rsidP="00DB1B32">
      <w:pPr>
        <w:jc w:val="both"/>
      </w:pPr>
    </w:p>
    <w:p w14:paraId="30B25352" w14:textId="207CB9B6" w:rsidR="008706D0" w:rsidRPr="00A8613B" w:rsidRDefault="008706D0" w:rsidP="008706D0">
      <w:pPr>
        <w:pStyle w:val="Heading2"/>
        <w:rPr>
          <w:color w:val="1F497D" w:themeColor="text2"/>
        </w:rPr>
      </w:pPr>
      <w:bookmarkStart w:id="20" w:name="_Toc380156867"/>
      <w:r w:rsidRPr="00A8613B">
        <w:rPr>
          <w:color w:val="1F497D" w:themeColor="text2"/>
        </w:rPr>
        <w:t>4.2 Seasonal Trends</w:t>
      </w:r>
      <w:bookmarkEnd w:id="20"/>
    </w:p>
    <w:p w14:paraId="44334E60" w14:textId="77777777" w:rsidR="008706D0" w:rsidRDefault="008706D0" w:rsidP="008706D0"/>
    <w:p w14:paraId="2A7C57EC" w14:textId="21A25E86" w:rsidR="00D23349" w:rsidRDefault="008706D0" w:rsidP="004A25FB">
      <w:pPr>
        <w:jc w:val="both"/>
      </w:pPr>
      <w:r>
        <w:t>Total dissolved solids (TDS) concentrations were high</w:t>
      </w:r>
      <w:r w:rsidR="0082785F">
        <w:t>er in Ju</w:t>
      </w:r>
      <w:r w:rsidR="00071380">
        <w:t>ne</w:t>
      </w:r>
      <w:r w:rsidR="0082785F">
        <w:t xml:space="preserve"> than in October for five of the seven</w:t>
      </w:r>
      <w:r>
        <w:t xml:space="preserve"> sites</w:t>
      </w:r>
      <w:r w:rsidR="00071380">
        <w:t xml:space="preserve"> in 2018</w:t>
      </w:r>
      <w:r>
        <w:t xml:space="preserve">. The elevated concentration of TDS observed </w:t>
      </w:r>
      <w:r w:rsidR="00071380">
        <w:t xml:space="preserve">during </w:t>
      </w:r>
      <w:r w:rsidR="00C40690">
        <w:t>high flows</w:t>
      </w:r>
      <w:r w:rsidR="00071380">
        <w:t xml:space="preserve"> of </w:t>
      </w:r>
      <w:r>
        <w:t>Ju</w:t>
      </w:r>
      <w:r w:rsidR="00071380">
        <w:t>ne 2018 is anomalous, T</w:t>
      </w:r>
      <w:r w:rsidR="00EF6717">
        <w:t xml:space="preserve">DS levels are usually </w:t>
      </w:r>
      <w:r w:rsidR="00AD6DA3">
        <w:t>lower</w:t>
      </w:r>
      <w:r w:rsidR="00EF6717">
        <w:t xml:space="preserve"> during run</w:t>
      </w:r>
      <w:r w:rsidR="00FE59E1">
        <w:t>-off due to dilution e</w:t>
      </w:r>
      <w:r w:rsidR="00EF6717">
        <w:t>ffect</w:t>
      </w:r>
      <w:r w:rsidR="00FE59E1">
        <w:t>s</w:t>
      </w:r>
      <w:r w:rsidR="004A7B76">
        <w:t xml:space="preserve"> and </w:t>
      </w:r>
      <w:r w:rsidR="00AD6DA3">
        <w:t xml:space="preserve">then </w:t>
      </w:r>
      <w:r w:rsidR="004A7B76">
        <w:t>higher during the summer months</w:t>
      </w:r>
      <w:r w:rsidR="00AD6DA3">
        <w:t xml:space="preserve"> as flows are reduced</w:t>
      </w:r>
      <w:r w:rsidR="00EF6717">
        <w:t xml:space="preserve">.  TDS values measured with a hand-held Oakton meter during June </w:t>
      </w:r>
      <w:r w:rsidR="00C40690">
        <w:t>high flows of 2017 of 2017</w:t>
      </w:r>
      <w:r w:rsidR="00EF6717">
        <w:t xml:space="preserve"> ranged from 150-165 </w:t>
      </w:r>
      <w:r w:rsidR="00FE59E1">
        <w:t>mg/</w:t>
      </w:r>
      <w:r w:rsidR="00AD6DA3">
        <w:t>L</w:t>
      </w:r>
      <w:r w:rsidR="00FE59E1">
        <w:t xml:space="preserve"> </w:t>
      </w:r>
      <w:r w:rsidR="00EF6717">
        <w:t>(Stagliano 2017, Appendix</w:t>
      </w:r>
      <w:r w:rsidR="001A517C">
        <w:t xml:space="preserve"> D)</w:t>
      </w:r>
      <w:r w:rsidR="00071380">
        <w:t xml:space="preserve"> much lower than </w:t>
      </w:r>
      <w:r w:rsidR="00AD6DA3">
        <w:t xml:space="preserve">what was </w:t>
      </w:r>
      <w:r w:rsidR="00071380">
        <w:t xml:space="preserve">being reported for </w:t>
      </w:r>
      <w:r w:rsidR="00AD6DA3">
        <w:t xml:space="preserve">June </w:t>
      </w:r>
      <w:r w:rsidR="00071380">
        <w:t>2018</w:t>
      </w:r>
      <w:r w:rsidR="001A517C">
        <w:t>.</w:t>
      </w:r>
      <w:r w:rsidR="00EF6717">
        <w:t xml:space="preserve">  </w:t>
      </w:r>
      <w:r>
        <w:t xml:space="preserve">It is unclear </w:t>
      </w:r>
      <w:r w:rsidR="00AD6DA3">
        <w:t xml:space="preserve">as </w:t>
      </w:r>
      <w:r>
        <w:t xml:space="preserve">to what extent </w:t>
      </w:r>
      <w:r w:rsidR="00A74F57">
        <w:t xml:space="preserve">natural and </w:t>
      </w:r>
      <w:r>
        <w:t>anthropogenic sources (fertilizers, pesticides</w:t>
      </w:r>
      <w:r w:rsidR="004A7B76">
        <w:t>, etc.</w:t>
      </w:r>
      <w:r>
        <w:t>) are contributing to</w:t>
      </w:r>
      <w:r w:rsidR="004A7B76">
        <w:t xml:space="preserve"> elevated</w:t>
      </w:r>
      <w:r>
        <w:t xml:space="preserve"> TDS concentrations</w:t>
      </w:r>
      <w:r w:rsidR="00071380">
        <w:t xml:space="preserve"> during the June run-off period</w:t>
      </w:r>
      <w:r w:rsidR="004A7B76">
        <w:t xml:space="preserve"> (Total Nitrogen is also very elevated during this period)</w:t>
      </w:r>
      <w:r>
        <w:t>.</w:t>
      </w:r>
      <w:r w:rsidR="004A7B76">
        <w:t xml:space="preserve">  But, high readings of TDS were also reported at all sites</w:t>
      </w:r>
      <w:r w:rsidR="004A7B76" w:rsidRPr="004A7B76">
        <w:t xml:space="preserve"> </w:t>
      </w:r>
      <w:r w:rsidR="004A7B76">
        <w:t xml:space="preserve">in Fall of 2019, especially below the tributaries. </w:t>
      </w:r>
    </w:p>
    <w:p w14:paraId="45950350" w14:textId="57486131" w:rsidR="004728A8" w:rsidRDefault="00561026" w:rsidP="004A25FB">
      <w:pPr>
        <w:jc w:val="both"/>
      </w:pPr>
      <w:r>
        <w:t xml:space="preserve">Overall, nutrient levels were greater in October than </w:t>
      </w:r>
      <w:r w:rsidR="00013D99">
        <w:t xml:space="preserve">June or </w:t>
      </w:r>
      <w:r>
        <w:t>July</w:t>
      </w:r>
      <w:r w:rsidR="00013D99">
        <w:t xml:space="preserve"> in 2018</w:t>
      </w:r>
      <w:r w:rsidR="009B4012">
        <w:t>;</w:t>
      </w:r>
      <w:r w:rsidR="00013D99">
        <w:t xml:space="preserve"> TP was significantly higher in Oct</w:t>
      </w:r>
      <w:r w:rsidR="009B4012">
        <w:t xml:space="preserve">. than June (T-test, p=0.04) or July (T-test, p=0.025). </w:t>
      </w:r>
      <w:r w:rsidR="00013D99">
        <w:t xml:space="preserve"> </w:t>
      </w:r>
      <w:r>
        <w:t xml:space="preserve">Inorganic nitrogen, total nitrogen, and total phosphorus </w:t>
      </w:r>
      <w:r w:rsidR="008706D0">
        <w:t xml:space="preserve">concentrations </w:t>
      </w:r>
      <w:r>
        <w:t>increased between July and October</w:t>
      </w:r>
      <w:r w:rsidR="0082785F">
        <w:t xml:space="preserve"> for six</w:t>
      </w:r>
      <w:r w:rsidR="008706D0">
        <w:t xml:space="preserve"> of</w:t>
      </w:r>
      <w:r w:rsidR="001D26CB">
        <w:t xml:space="preserve"> the </w:t>
      </w:r>
      <w:r w:rsidR="0082785F">
        <w:t>seven</w:t>
      </w:r>
      <w:r w:rsidR="001D26CB">
        <w:t xml:space="preserve"> sites (the one excepti</w:t>
      </w:r>
      <w:r w:rsidR="0082785F">
        <w:t>on</w:t>
      </w:r>
      <w:r w:rsidR="001D26CB">
        <w:t xml:space="preserve"> was the </w:t>
      </w:r>
      <w:r w:rsidR="009B4012">
        <w:t>MO</w:t>
      </w:r>
      <w:r w:rsidR="009D4C46">
        <w:t>_DEAR_</w:t>
      </w:r>
      <w:r w:rsidR="001D26CB">
        <w:t>DS as described in 4.1).</w:t>
      </w:r>
    </w:p>
    <w:p w14:paraId="3C78A010" w14:textId="77777777" w:rsidR="00561026" w:rsidRDefault="00561026" w:rsidP="008706D0"/>
    <w:p w14:paraId="08867B7A" w14:textId="42223DC4" w:rsidR="00561026" w:rsidRPr="00A8613B" w:rsidRDefault="00561026" w:rsidP="00561026">
      <w:pPr>
        <w:pStyle w:val="Heading2"/>
        <w:rPr>
          <w:color w:val="1F497D" w:themeColor="text2"/>
        </w:rPr>
      </w:pPr>
      <w:bookmarkStart w:id="21" w:name="_Toc380156868"/>
      <w:r w:rsidRPr="00A8613B">
        <w:rPr>
          <w:color w:val="1F497D" w:themeColor="text2"/>
        </w:rPr>
        <w:t>4.3 Yearly Trends</w:t>
      </w:r>
      <w:bookmarkEnd w:id="21"/>
    </w:p>
    <w:p w14:paraId="46655377" w14:textId="77777777" w:rsidR="009609C2" w:rsidRDefault="009609C2" w:rsidP="00AD6DA3">
      <w:pPr>
        <w:jc w:val="both"/>
      </w:pPr>
    </w:p>
    <w:p w14:paraId="5BF6348C" w14:textId="628B8F75" w:rsidR="00561026" w:rsidRDefault="00561026" w:rsidP="00AD6DA3">
      <w:pPr>
        <w:jc w:val="both"/>
      </w:pPr>
      <w:r>
        <w:t>Total dissolved solids</w:t>
      </w:r>
      <w:r w:rsidR="00AD6DA3">
        <w:t xml:space="preserve"> (TDS)</w:t>
      </w:r>
      <w:r>
        <w:t xml:space="preserve"> concentrations were consistently </w:t>
      </w:r>
      <w:r w:rsidR="00AD6DA3">
        <w:t xml:space="preserve">higher in 2018 and 2019 than reported in </w:t>
      </w:r>
      <w:r>
        <w:t xml:space="preserve">2016 </w:t>
      </w:r>
      <w:r w:rsidR="00AD6DA3">
        <w:t xml:space="preserve">or 2017, although, this parameter was inconsistently sampled, </w:t>
      </w:r>
      <w:r>
        <w:t>so yearly comparison</w:t>
      </w:r>
      <w:r w:rsidR="00AD6DA3">
        <w:t>s may be unreliable (</w:t>
      </w:r>
      <w:r w:rsidR="00AD6DA3" w:rsidRPr="00AD6DA3">
        <w:rPr>
          <w:b/>
          <w:bCs/>
        </w:rPr>
        <w:t>Appendix A</w:t>
      </w:r>
      <w:r w:rsidR="00AD6DA3">
        <w:t xml:space="preserve">).  </w:t>
      </w:r>
      <w:r w:rsidR="006E2740">
        <w:t xml:space="preserve">TSS </w:t>
      </w:r>
      <w:r>
        <w:t xml:space="preserve">concentrations </w:t>
      </w:r>
      <w:r w:rsidR="00AD6DA3">
        <w:t xml:space="preserve">reached their highest levels in </w:t>
      </w:r>
      <w:r w:rsidR="006E2740">
        <w:t xml:space="preserve">April 2016 and </w:t>
      </w:r>
      <w:r w:rsidR="00AD6DA3">
        <w:t xml:space="preserve">June 2018, but then </w:t>
      </w:r>
      <w:r>
        <w:t xml:space="preserve">were similar between </w:t>
      </w:r>
      <w:r w:rsidR="00216EA9">
        <w:t xml:space="preserve">Fall </w:t>
      </w:r>
      <w:r>
        <w:t>201</w:t>
      </w:r>
      <w:r w:rsidR="00216EA9">
        <w:t>8</w:t>
      </w:r>
      <w:r>
        <w:t xml:space="preserve"> and 201</w:t>
      </w:r>
      <w:r w:rsidR="00216EA9">
        <w:t>9</w:t>
      </w:r>
      <w:r>
        <w:t xml:space="preserve">. </w:t>
      </w:r>
      <w:r w:rsidR="00AD6DA3">
        <w:t xml:space="preserve"> </w:t>
      </w:r>
      <w:r w:rsidR="006E2740">
        <w:t xml:space="preserve">TSS </w:t>
      </w:r>
      <w:r>
        <w:t>concentration</w:t>
      </w:r>
      <w:r w:rsidR="006E2740">
        <w:t>s</w:t>
      </w:r>
      <w:r>
        <w:t xml:space="preserve"> w</w:t>
      </w:r>
      <w:r w:rsidR="006E2740">
        <w:t>ere</w:t>
      </w:r>
      <w:r>
        <w:t xml:space="preserve"> zero</w:t>
      </w:r>
      <w:r w:rsidR="00F144F3">
        <w:t xml:space="preserve"> (not detected)</w:t>
      </w:r>
      <w:r>
        <w:t xml:space="preserve"> at all sites</w:t>
      </w:r>
      <w:r w:rsidR="006E2740">
        <w:t xml:space="preserve"> between</w:t>
      </w:r>
      <w:r>
        <w:t xml:space="preserve"> July</w:t>
      </w:r>
      <w:r w:rsidR="006E2740">
        <w:t xml:space="preserve"> 2016</w:t>
      </w:r>
      <w:r>
        <w:t xml:space="preserve"> and October</w:t>
      </w:r>
      <w:r w:rsidR="006E2740">
        <w:t xml:space="preserve"> 2017</w:t>
      </w:r>
      <w:r w:rsidR="00F144F3">
        <w:t>,</w:t>
      </w:r>
      <w:r>
        <w:t xml:space="preserve"> except </w:t>
      </w:r>
      <w:r w:rsidR="006E2740">
        <w:t xml:space="preserve">at </w:t>
      </w:r>
      <w:r>
        <w:t xml:space="preserve">the Cascade site, which exhibited </w:t>
      </w:r>
      <w:r w:rsidR="003B7320">
        <w:t>moderate</w:t>
      </w:r>
      <w:r>
        <w:t xml:space="preserve"> concentrations during July of </w:t>
      </w:r>
      <w:r w:rsidR="003B7320">
        <w:t>all</w:t>
      </w:r>
      <w:r>
        <w:t xml:space="preserve"> years</w:t>
      </w:r>
      <w:r w:rsidR="006E2740">
        <w:t xml:space="preserve"> (</w:t>
      </w:r>
      <w:r w:rsidR="006E2740" w:rsidRPr="006E2740">
        <w:rPr>
          <w:b/>
          <w:bCs/>
        </w:rPr>
        <w:t>Figure 11</w:t>
      </w:r>
      <w:r w:rsidR="006E2740">
        <w:t>)</w:t>
      </w:r>
      <w:r>
        <w:t>.</w:t>
      </w:r>
      <w:r w:rsidR="009609C2">
        <w:t xml:space="preserve"> TSS concentrations may be correlated with or a contributor to higher nutrient levels. </w:t>
      </w:r>
    </w:p>
    <w:p w14:paraId="07532433" w14:textId="77777777" w:rsidR="00561026" w:rsidRDefault="00561026" w:rsidP="00017C81"/>
    <w:p w14:paraId="156F7CCF" w14:textId="164FECE6" w:rsidR="006E2740" w:rsidRDefault="006E2740" w:rsidP="006E2740">
      <w:r w:rsidRPr="00FB33C7">
        <w:rPr>
          <w:b/>
          <w:bCs/>
          <w:i/>
          <w:iCs/>
        </w:rPr>
        <w:t xml:space="preserve">Figure </w:t>
      </w:r>
      <w:r>
        <w:rPr>
          <w:b/>
          <w:bCs/>
          <w:i/>
          <w:iCs/>
        </w:rPr>
        <w:t>11</w:t>
      </w:r>
      <w:r w:rsidRPr="00FB33C7">
        <w:rPr>
          <w:b/>
          <w:bCs/>
          <w:i/>
          <w:iCs/>
        </w:rPr>
        <w:t>.</w:t>
      </w:r>
      <w:r w:rsidRPr="00FB33C7">
        <w:rPr>
          <w:i/>
          <w:iCs/>
        </w:rPr>
        <w:t xml:space="preserve"> Total</w:t>
      </w:r>
      <w:r>
        <w:rPr>
          <w:i/>
          <w:iCs/>
        </w:rPr>
        <w:t xml:space="preserve"> Suspended Solids (TSS)</w:t>
      </w:r>
      <w:r w:rsidRPr="00FB33C7">
        <w:rPr>
          <w:i/>
          <w:iCs/>
        </w:rPr>
        <w:t>across the UMOWA sites</w:t>
      </w:r>
      <w:r>
        <w:rPr>
          <w:i/>
          <w:iCs/>
        </w:rPr>
        <w:t xml:space="preserve"> from</w:t>
      </w:r>
      <w:r w:rsidRPr="00FB33C7">
        <w:rPr>
          <w:i/>
          <w:iCs/>
        </w:rPr>
        <w:t xml:space="preserve"> 201</w:t>
      </w:r>
      <w:r>
        <w:rPr>
          <w:i/>
          <w:iCs/>
        </w:rPr>
        <w:t>6 to 2019</w:t>
      </w:r>
      <w:r>
        <w:t>.</w:t>
      </w:r>
    </w:p>
    <w:p w14:paraId="5370060E" w14:textId="0587EDD4" w:rsidR="006E2740" w:rsidRDefault="006E2740" w:rsidP="004A4000">
      <w:r>
        <w:rPr>
          <w:noProof/>
        </w:rPr>
        <w:drawing>
          <wp:anchor distT="0" distB="0" distL="114300" distR="114300" simplePos="0" relativeHeight="251691008" behindDoc="0" locked="0" layoutInCell="1" allowOverlap="1" wp14:anchorId="2BD300C8" wp14:editId="0B23A226">
            <wp:simplePos x="0" y="0"/>
            <wp:positionH relativeFrom="margin">
              <wp:align>center</wp:align>
            </wp:positionH>
            <wp:positionV relativeFrom="paragraph">
              <wp:posOffset>30480</wp:posOffset>
            </wp:positionV>
            <wp:extent cx="4414520" cy="2800350"/>
            <wp:effectExtent l="0" t="0" r="5080" b="0"/>
            <wp:wrapSquare wrapText="bothSides"/>
            <wp:docPr id="50" name="Chart 50">
              <a:extLst xmlns:a="http://schemas.openxmlformats.org/drawingml/2006/main">
                <a:ext uri="{FF2B5EF4-FFF2-40B4-BE49-F238E27FC236}">
                  <a16:creationId xmlns:a16="http://schemas.microsoft.com/office/drawing/2014/main" id="{B2C0082C-1DF3-4721-8FEA-35E22EE5A8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margin">
              <wp14:pctWidth>0</wp14:pctWidth>
            </wp14:sizeRelH>
            <wp14:sizeRelV relativeFrom="margin">
              <wp14:pctHeight>0</wp14:pctHeight>
            </wp14:sizeRelV>
          </wp:anchor>
        </w:drawing>
      </w:r>
    </w:p>
    <w:p w14:paraId="5B3D1B21" w14:textId="7603A96F" w:rsidR="006E2740" w:rsidRDefault="006E2740" w:rsidP="004A4000"/>
    <w:p w14:paraId="78DF91FF" w14:textId="77777777" w:rsidR="006E2740" w:rsidRDefault="006E2740" w:rsidP="004A4000"/>
    <w:p w14:paraId="68DF20D3" w14:textId="77777777" w:rsidR="003B7320" w:rsidRDefault="003B7320" w:rsidP="00A74F57"/>
    <w:p w14:paraId="42BE7CB1" w14:textId="52FB2E38" w:rsidR="00A74F57" w:rsidRDefault="00A74F57" w:rsidP="00A74F57">
      <w:pPr>
        <w:rPr>
          <w:b/>
        </w:rPr>
      </w:pPr>
    </w:p>
    <w:p w14:paraId="092905F2" w14:textId="05D5C21A" w:rsidR="003B7320" w:rsidRDefault="003B7320" w:rsidP="00A74F57">
      <w:pPr>
        <w:rPr>
          <w:b/>
        </w:rPr>
      </w:pPr>
    </w:p>
    <w:p w14:paraId="748400DC" w14:textId="0721F894" w:rsidR="003B7320" w:rsidRDefault="003B7320" w:rsidP="00A74F57">
      <w:pPr>
        <w:rPr>
          <w:b/>
        </w:rPr>
      </w:pPr>
    </w:p>
    <w:p w14:paraId="3D49F499" w14:textId="59395936" w:rsidR="003B7320" w:rsidRDefault="003B7320" w:rsidP="00A74F57">
      <w:pPr>
        <w:rPr>
          <w:b/>
        </w:rPr>
      </w:pPr>
    </w:p>
    <w:p w14:paraId="08205F56" w14:textId="5CF61D3D" w:rsidR="003B7320" w:rsidRDefault="003B7320" w:rsidP="00A74F57">
      <w:pPr>
        <w:rPr>
          <w:b/>
        </w:rPr>
      </w:pPr>
    </w:p>
    <w:p w14:paraId="68CC936F" w14:textId="0B410735" w:rsidR="003B7320" w:rsidRDefault="003B7320" w:rsidP="00A74F57">
      <w:pPr>
        <w:rPr>
          <w:b/>
        </w:rPr>
      </w:pPr>
    </w:p>
    <w:p w14:paraId="58BE35B9" w14:textId="141FE043" w:rsidR="003B7320" w:rsidRDefault="003B7320" w:rsidP="00A74F57">
      <w:pPr>
        <w:rPr>
          <w:b/>
        </w:rPr>
      </w:pPr>
    </w:p>
    <w:p w14:paraId="25EB2CF4" w14:textId="4A285279" w:rsidR="003B7320" w:rsidRDefault="003B7320" w:rsidP="00A74F57">
      <w:pPr>
        <w:rPr>
          <w:b/>
        </w:rPr>
      </w:pPr>
    </w:p>
    <w:p w14:paraId="07F0D0E4" w14:textId="3C8A61A4" w:rsidR="003B7320" w:rsidRDefault="003B7320" w:rsidP="00A74F57">
      <w:pPr>
        <w:rPr>
          <w:b/>
        </w:rPr>
      </w:pPr>
    </w:p>
    <w:p w14:paraId="23D0ADDE" w14:textId="17AAD699" w:rsidR="003B7320" w:rsidRDefault="003B7320" w:rsidP="00A74F57">
      <w:pPr>
        <w:rPr>
          <w:b/>
        </w:rPr>
      </w:pPr>
    </w:p>
    <w:p w14:paraId="0FF760DC" w14:textId="77777777" w:rsidR="003B7320" w:rsidRDefault="003B7320" w:rsidP="00A74F57">
      <w:pPr>
        <w:rPr>
          <w:b/>
        </w:rPr>
      </w:pPr>
    </w:p>
    <w:p w14:paraId="2131D895" w14:textId="1E5E14D8" w:rsidR="00D15DEF" w:rsidRDefault="00D15DEF" w:rsidP="00017C81">
      <w:pPr>
        <w:rPr>
          <w:b/>
        </w:rPr>
      </w:pPr>
    </w:p>
    <w:p w14:paraId="07A45F33" w14:textId="204B9105" w:rsidR="009712EB" w:rsidRPr="00E920CB" w:rsidRDefault="00CE13AC" w:rsidP="00743778">
      <w:pPr>
        <w:pStyle w:val="Heading1"/>
      </w:pPr>
      <w:bookmarkStart w:id="22" w:name="_Toc380156869"/>
      <w:r>
        <w:t>5</w:t>
      </w:r>
      <w:r w:rsidR="009712EB" w:rsidRPr="00E920CB">
        <w:t xml:space="preserve">.0 </w:t>
      </w:r>
      <w:r w:rsidR="009712EB">
        <w:t>Conclusion</w:t>
      </w:r>
      <w:bookmarkEnd w:id="22"/>
      <w:r w:rsidR="003B7320">
        <w:t>s</w:t>
      </w:r>
    </w:p>
    <w:p w14:paraId="72E67C2B" w14:textId="77777777" w:rsidR="0036093B" w:rsidRDefault="0036093B" w:rsidP="00112D4F">
      <w:pPr>
        <w:rPr>
          <w:rFonts w:eastAsia="Times New Roman" w:cs="Times New Roman"/>
          <w:bCs/>
          <w:color w:val="333333"/>
        </w:rPr>
      </w:pPr>
    </w:p>
    <w:p w14:paraId="50E70597" w14:textId="73BDCE68" w:rsidR="00031C12" w:rsidRPr="00F144F3" w:rsidRDefault="00031C12" w:rsidP="004A7B76">
      <w:pPr>
        <w:jc w:val="both"/>
        <w:rPr>
          <w:rFonts w:eastAsia="Times New Roman" w:cs="Times New Roman"/>
          <w:bCs/>
          <w:color w:val="000000" w:themeColor="text1"/>
        </w:rPr>
      </w:pPr>
      <w:r w:rsidRPr="00F144F3">
        <w:rPr>
          <w:rFonts w:eastAsia="Times New Roman" w:cs="Times New Roman"/>
          <w:bCs/>
          <w:color w:val="000000" w:themeColor="text1"/>
        </w:rPr>
        <w:t xml:space="preserve">This study has established a comprehensive </w:t>
      </w:r>
      <w:r w:rsidR="001A517C" w:rsidRPr="00F144F3">
        <w:rPr>
          <w:rFonts w:eastAsia="Times New Roman" w:cs="Times New Roman"/>
          <w:bCs/>
          <w:color w:val="000000" w:themeColor="text1"/>
        </w:rPr>
        <w:t>baseline</w:t>
      </w:r>
      <w:r w:rsidRPr="00F144F3">
        <w:rPr>
          <w:rFonts w:eastAsia="Times New Roman" w:cs="Times New Roman"/>
          <w:bCs/>
          <w:color w:val="000000" w:themeColor="text1"/>
        </w:rPr>
        <w:t xml:space="preserve"> of the water quality </w:t>
      </w:r>
      <w:r w:rsidR="004A7B76" w:rsidRPr="00F144F3">
        <w:rPr>
          <w:rFonts w:eastAsia="Times New Roman" w:cs="Times New Roman"/>
          <w:bCs/>
          <w:color w:val="000000" w:themeColor="text1"/>
        </w:rPr>
        <w:t xml:space="preserve">in </w:t>
      </w:r>
      <w:r w:rsidRPr="00F144F3">
        <w:rPr>
          <w:rFonts w:eastAsia="Times New Roman" w:cs="Times New Roman"/>
          <w:bCs/>
          <w:color w:val="000000" w:themeColor="text1"/>
        </w:rPr>
        <w:t>the upper Missouri River</w:t>
      </w:r>
      <w:r w:rsidR="003C4736" w:rsidRPr="00F144F3">
        <w:rPr>
          <w:rFonts w:eastAsia="Times New Roman" w:cs="Times New Roman"/>
          <w:bCs/>
          <w:color w:val="000000" w:themeColor="text1"/>
        </w:rPr>
        <w:t xml:space="preserve"> over</w:t>
      </w:r>
      <w:r w:rsidRPr="00F144F3">
        <w:rPr>
          <w:rFonts w:eastAsia="Times New Roman" w:cs="Times New Roman"/>
          <w:bCs/>
          <w:color w:val="000000" w:themeColor="text1"/>
        </w:rPr>
        <w:t xml:space="preserve"> </w:t>
      </w:r>
      <w:r w:rsidR="00A8613B" w:rsidRPr="00F144F3">
        <w:rPr>
          <w:rFonts w:eastAsia="Times New Roman" w:cs="Times New Roman"/>
          <w:bCs/>
          <w:color w:val="000000" w:themeColor="text1"/>
        </w:rPr>
        <w:t>four</w:t>
      </w:r>
      <w:r w:rsidRPr="00F144F3">
        <w:rPr>
          <w:rFonts w:eastAsia="Times New Roman" w:cs="Times New Roman"/>
          <w:bCs/>
          <w:color w:val="000000" w:themeColor="text1"/>
        </w:rPr>
        <w:t xml:space="preserve"> </w:t>
      </w:r>
      <w:r w:rsidR="003C4736" w:rsidRPr="00F144F3">
        <w:rPr>
          <w:rFonts w:eastAsia="Times New Roman" w:cs="Times New Roman"/>
          <w:bCs/>
          <w:color w:val="000000" w:themeColor="text1"/>
        </w:rPr>
        <w:t xml:space="preserve">very different water </w:t>
      </w:r>
      <w:r w:rsidRPr="00F144F3">
        <w:rPr>
          <w:rFonts w:eastAsia="Times New Roman" w:cs="Times New Roman"/>
          <w:bCs/>
          <w:color w:val="000000" w:themeColor="text1"/>
        </w:rPr>
        <w:t>years</w:t>
      </w:r>
      <w:r w:rsidR="003C4736" w:rsidRPr="00F144F3">
        <w:rPr>
          <w:rFonts w:eastAsia="Times New Roman" w:cs="Times New Roman"/>
          <w:bCs/>
          <w:color w:val="000000" w:themeColor="text1"/>
        </w:rPr>
        <w:t xml:space="preserve"> (</w:t>
      </w:r>
      <w:r w:rsidRPr="00F144F3">
        <w:rPr>
          <w:rFonts w:eastAsia="Times New Roman" w:cs="Times New Roman"/>
          <w:bCs/>
          <w:color w:val="000000" w:themeColor="text1"/>
        </w:rPr>
        <w:t>2016</w:t>
      </w:r>
      <w:r w:rsidR="00A8613B" w:rsidRPr="00F144F3">
        <w:rPr>
          <w:rFonts w:eastAsia="Times New Roman" w:cs="Times New Roman"/>
          <w:bCs/>
          <w:color w:val="000000" w:themeColor="text1"/>
        </w:rPr>
        <w:t>-2019</w:t>
      </w:r>
      <w:r w:rsidR="003C4736" w:rsidRPr="00F144F3">
        <w:rPr>
          <w:rFonts w:eastAsia="Times New Roman" w:cs="Times New Roman"/>
          <w:bCs/>
          <w:color w:val="000000" w:themeColor="text1"/>
        </w:rPr>
        <w:t>)</w:t>
      </w:r>
      <w:r w:rsidR="004A7B76" w:rsidRPr="00F144F3">
        <w:rPr>
          <w:rFonts w:eastAsia="Times New Roman" w:cs="Times New Roman"/>
          <w:bCs/>
          <w:color w:val="000000" w:themeColor="text1"/>
        </w:rPr>
        <w:t xml:space="preserve"> and has elucidated </w:t>
      </w:r>
      <w:r w:rsidRPr="00F144F3">
        <w:rPr>
          <w:rFonts w:eastAsia="Times New Roman" w:cs="Times New Roman"/>
          <w:bCs/>
          <w:color w:val="000000" w:themeColor="text1"/>
        </w:rPr>
        <w:t xml:space="preserve">several spatial and temporal trends. The </w:t>
      </w:r>
      <w:r w:rsidR="004A7B76" w:rsidRPr="00F144F3">
        <w:rPr>
          <w:rFonts w:eastAsia="Times New Roman" w:cs="Times New Roman"/>
          <w:bCs/>
          <w:color w:val="000000" w:themeColor="text1"/>
        </w:rPr>
        <w:t xml:space="preserve">overwhelming </w:t>
      </w:r>
      <w:r w:rsidRPr="00F144F3">
        <w:rPr>
          <w:rFonts w:eastAsia="Times New Roman" w:cs="Times New Roman"/>
          <w:bCs/>
          <w:color w:val="000000" w:themeColor="text1"/>
        </w:rPr>
        <w:t xml:space="preserve">trend observed </w:t>
      </w:r>
      <w:r w:rsidR="001A517C" w:rsidRPr="00F144F3">
        <w:rPr>
          <w:rFonts w:eastAsia="Times New Roman" w:cs="Times New Roman"/>
          <w:bCs/>
          <w:color w:val="000000" w:themeColor="text1"/>
        </w:rPr>
        <w:t>between 2016 and 201</w:t>
      </w:r>
      <w:r w:rsidR="004A7B76" w:rsidRPr="00F144F3">
        <w:rPr>
          <w:rFonts w:eastAsia="Times New Roman" w:cs="Times New Roman"/>
          <w:bCs/>
          <w:color w:val="000000" w:themeColor="text1"/>
        </w:rPr>
        <w:t>9</w:t>
      </w:r>
      <w:r w:rsidR="001A517C" w:rsidRPr="00F144F3">
        <w:rPr>
          <w:rFonts w:eastAsia="Times New Roman" w:cs="Times New Roman"/>
          <w:bCs/>
          <w:color w:val="000000" w:themeColor="text1"/>
        </w:rPr>
        <w:t xml:space="preserve"> </w:t>
      </w:r>
      <w:r w:rsidRPr="00F144F3">
        <w:rPr>
          <w:rFonts w:eastAsia="Times New Roman" w:cs="Times New Roman"/>
          <w:bCs/>
          <w:color w:val="000000" w:themeColor="text1"/>
        </w:rPr>
        <w:t xml:space="preserve">is a </w:t>
      </w:r>
      <w:r w:rsidR="00AD6DA3" w:rsidRPr="00F144F3">
        <w:rPr>
          <w:rFonts w:eastAsia="Times New Roman" w:cs="Times New Roman"/>
          <w:bCs/>
          <w:color w:val="000000" w:themeColor="text1"/>
        </w:rPr>
        <w:t xml:space="preserve">substantial </w:t>
      </w:r>
      <w:r w:rsidRPr="00F144F3">
        <w:rPr>
          <w:rFonts w:eastAsia="Times New Roman" w:cs="Times New Roman"/>
          <w:bCs/>
          <w:color w:val="000000" w:themeColor="text1"/>
        </w:rPr>
        <w:t>increase in inorganic nitrogen</w:t>
      </w:r>
      <w:r w:rsidR="004A7B76" w:rsidRPr="00F144F3">
        <w:rPr>
          <w:rFonts w:eastAsia="Times New Roman" w:cs="Times New Roman"/>
          <w:bCs/>
          <w:color w:val="000000" w:themeColor="text1"/>
        </w:rPr>
        <w:t xml:space="preserve"> (NN)</w:t>
      </w:r>
      <w:r w:rsidRPr="00F144F3">
        <w:rPr>
          <w:rFonts w:eastAsia="Times New Roman" w:cs="Times New Roman"/>
          <w:bCs/>
          <w:color w:val="000000" w:themeColor="text1"/>
        </w:rPr>
        <w:t>, total nitrogen</w:t>
      </w:r>
      <w:r w:rsidR="004A7B76" w:rsidRPr="00F144F3">
        <w:rPr>
          <w:rFonts w:eastAsia="Times New Roman" w:cs="Times New Roman"/>
          <w:bCs/>
          <w:color w:val="000000" w:themeColor="text1"/>
        </w:rPr>
        <w:t xml:space="preserve"> (TN)</w:t>
      </w:r>
      <w:r w:rsidRPr="00F144F3">
        <w:rPr>
          <w:rFonts w:eastAsia="Times New Roman" w:cs="Times New Roman"/>
          <w:bCs/>
          <w:color w:val="000000" w:themeColor="text1"/>
        </w:rPr>
        <w:t>, and total phosphorus</w:t>
      </w:r>
      <w:r w:rsidR="004A7B76" w:rsidRPr="00F144F3">
        <w:rPr>
          <w:rFonts w:eastAsia="Times New Roman" w:cs="Times New Roman"/>
          <w:bCs/>
          <w:color w:val="000000" w:themeColor="text1"/>
        </w:rPr>
        <w:t xml:space="preserve"> (TP)</w:t>
      </w:r>
      <w:r w:rsidRPr="00F144F3">
        <w:rPr>
          <w:rFonts w:eastAsia="Times New Roman" w:cs="Times New Roman"/>
          <w:bCs/>
          <w:color w:val="000000" w:themeColor="text1"/>
        </w:rPr>
        <w:t xml:space="preserve"> </w:t>
      </w:r>
      <w:r w:rsidR="0082785F" w:rsidRPr="00F144F3">
        <w:rPr>
          <w:rFonts w:eastAsia="Times New Roman" w:cs="Times New Roman"/>
          <w:bCs/>
          <w:color w:val="000000" w:themeColor="text1"/>
        </w:rPr>
        <w:t>concentrations</w:t>
      </w:r>
      <w:r w:rsidR="004A7B76" w:rsidRPr="00F144F3">
        <w:rPr>
          <w:rFonts w:eastAsia="Times New Roman" w:cs="Times New Roman"/>
          <w:bCs/>
          <w:color w:val="000000" w:themeColor="text1"/>
        </w:rPr>
        <w:t xml:space="preserve"> </w:t>
      </w:r>
      <w:r w:rsidR="00275739" w:rsidRPr="00F144F3">
        <w:rPr>
          <w:rFonts w:eastAsia="Times New Roman" w:cs="Times New Roman"/>
          <w:bCs/>
          <w:color w:val="000000" w:themeColor="text1"/>
        </w:rPr>
        <w:t xml:space="preserve">in the Missouri River </w:t>
      </w:r>
      <w:r w:rsidR="004A7B76" w:rsidRPr="00F144F3">
        <w:rPr>
          <w:rFonts w:eastAsia="Times New Roman" w:cs="Times New Roman"/>
          <w:bCs/>
          <w:color w:val="000000" w:themeColor="text1"/>
        </w:rPr>
        <w:t xml:space="preserve">to levels </w:t>
      </w:r>
      <w:r w:rsidR="00BB52FB">
        <w:rPr>
          <w:rFonts w:eastAsia="Times New Roman" w:cs="Times New Roman"/>
          <w:bCs/>
          <w:color w:val="000000" w:themeColor="text1"/>
        </w:rPr>
        <w:t>exceeding M</w:t>
      </w:r>
      <w:r w:rsidR="004A7B76" w:rsidRPr="00F144F3">
        <w:rPr>
          <w:rFonts w:eastAsia="Times New Roman" w:cs="Times New Roman"/>
          <w:bCs/>
          <w:color w:val="000000" w:themeColor="text1"/>
        </w:rPr>
        <w:t xml:space="preserve">DEQ nutrient standards since </w:t>
      </w:r>
      <w:r w:rsidR="009609C2">
        <w:rPr>
          <w:rFonts w:eastAsia="Times New Roman" w:cs="Times New Roman"/>
          <w:bCs/>
          <w:color w:val="000000" w:themeColor="text1"/>
        </w:rPr>
        <w:t xml:space="preserve">October </w:t>
      </w:r>
      <w:r w:rsidR="004A7B76" w:rsidRPr="00F144F3">
        <w:rPr>
          <w:rFonts w:eastAsia="Times New Roman" w:cs="Times New Roman"/>
          <w:bCs/>
          <w:color w:val="000000" w:themeColor="text1"/>
        </w:rPr>
        <w:t>of 2017</w:t>
      </w:r>
      <w:r w:rsidR="0082785F" w:rsidRPr="00F144F3">
        <w:rPr>
          <w:rFonts w:eastAsia="Times New Roman" w:cs="Times New Roman"/>
          <w:bCs/>
          <w:color w:val="000000" w:themeColor="text1"/>
        </w:rPr>
        <w:t>.</w:t>
      </w:r>
      <w:r w:rsidR="00275739" w:rsidRPr="00F144F3">
        <w:rPr>
          <w:rFonts w:eastAsia="Times New Roman" w:cs="Times New Roman"/>
          <w:bCs/>
          <w:color w:val="000000" w:themeColor="text1"/>
        </w:rPr>
        <w:t xml:space="preserve">  </w:t>
      </w:r>
      <w:r w:rsidR="003844EB">
        <w:rPr>
          <w:rFonts w:eastAsia="Times New Roman" w:cs="Times New Roman"/>
          <w:bCs/>
          <w:color w:val="000000" w:themeColor="text1"/>
        </w:rPr>
        <w:t>Nutrient exceedances were reported from the furthest upstream site all the way down to Cascade, except at sites</w:t>
      </w:r>
      <w:r w:rsidR="00275739" w:rsidRPr="00F144F3">
        <w:rPr>
          <w:rFonts w:eastAsia="Times New Roman" w:cs="Times New Roman"/>
          <w:bCs/>
          <w:color w:val="000000" w:themeColor="text1"/>
        </w:rPr>
        <w:t xml:space="preserve"> below the tributaries, Little Prickly Pear Creek and the Dearborn River </w:t>
      </w:r>
      <w:r w:rsidR="003844EB">
        <w:rPr>
          <w:rFonts w:eastAsia="Times New Roman" w:cs="Times New Roman"/>
          <w:bCs/>
          <w:color w:val="000000" w:themeColor="text1"/>
        </w:rPr>
        <w:t xml:space="preserve">where </w:t>
      </w:r>
      <w:r w:rsidR="00275739" w:rsidRPr="00F144F3">
        <w:rPr>
          <w:rFonts w:eastAsia="Times New Roman" w:cs="Times New Roman"/>
          <w:bCs/>
          <w:color w:val="000000" w:themeColor="text1"/>
        </w:rPr>
        <w:t xml:space="preserve">somewhat insulated from these </w:t>
      </w:r>
      <w:r w:rsidR="009609C2">
        <w:rPr>
          <w:rFonts w:eastAsia="Times New Roman" w:cs="Times New Roman"/>
          <w:bCs/>
          <w:color w:val="000000" w:themeColor="text1"/>
        </w:rPr>
        <w:t>increasing nutrient tr</w:t>
      </w:r>
      <w:r w:rsidR="00275739" w:rsidRPr="00F144F3">
        <w:rPr>
          <w:rFonts w:eastAsia="Times New Roman" w:cs="Times New Roman"/>
          <w:bCs/>
          <w:color w:val="000000" w:themeColor="text1"/>
        </w:rPr>
        <w:t xml:space="preserve">ends, but </w:t>
      </w:r>
      <w:r w:rsidR="009609C2">
        <w:rPr>
          <w:rFonts w:eastAsia="Times New Roman" w:cs="Times New Roman"/>
          <w:bCs/>
          <w:color w:val="000000" w:themeColor="text1"/>
        </w:rPr>
        <w:t xml:space="preserve">some seasonal </w:t>
      </w:r>
      <w:r w:rsidR="00275739" w:rsidRPr="00F144F3">
        <w:rPr>
          <w:rFonts w:eastAsia="Times New Roman" w:cs="Times New Roman"/>
          <w:bCs/>
          <w:color w:val="000000" w:themeColor="text1"/>
        </w:rPr>
        <w:t>increases</w:t>
      </w:r>
      <w:r w:rsidR="009609C2">
        <w:rPr>
          <w:rFonts w:eastAsia="Times New Roman" w:cs="Times New Roman"/>
          <w:bCs/>
          <w:color w:val="000000" w:themeColor="text1"/>
        </w:rPr>
        <w:t xml:space="preserve"> </w:t>
      </w:r>
      <w:r w:rsidR="00275739" w:rsidRPr="00F144F3">
        <w:rPr>
          <w:rFonts w:eastAsia="Times New Roman" w:cs="Times New Roman"/>
          <w:bCs/>
          <w:color w:val="000000" w:themeColor="text1"/>
        </w:rPr>
        <w:t>are being documented.</w:t>
      </w:r>
    </w:p>
    <w:p w14:paraId="5FD1C366" w14:textId="77777777" w:rsidR="0082785F" w:rsidRPr="00F144F3" w:rsidRDefault="0082785F" w:rsidP="004A7B76">
      <w:pPr>
        <w:jc w:val="both"/>
        <w:rPr>
          <w:rFonts w:eastAsia="Times New Roman" w:cs="Times New Roman"/>
          <w:bCs/>
          <w:color w:val="000000" w:themeColor="text1"/>
        </w:rPr>
      </w:pPr>
    </w:p>
    <w:p w14:paraId="2F864820" w14:textId="7635F430" w:rsidR="001D26CB" w:rsidRPr="00F144F3" w:rsidRDefault="00031C12" w:rsidP="004A7B76">
      <w:pPr>
        <w:jc w:val="both"/>
        <w:rPr>
          <w:rFonts w:eastAsia="Times New Roman" w:cs="Times New Roman"/>
          <w:bCs/>
          <w:color w:val="000000" w:themeColor="text1"/>
        </w:rPr>
      </w:pPr>
      <w:r w:rsidRPr="00F144F3">
        <w:rPr>
          <w:rFonts w:eastAsia="Times New Roman" w:cs="Times New Roman"/>
          <w:bCs/>
          <w:color w:val="000000" w:themeColor="text1"/>
        </w:rPr>
        <w:t xml:space="preserve">During October of 2017, 5 of 7 sites exceeded the </w:t>
      </w:r>
      <w:r w:rsidR="003C4736" w:rsidRPr="00F144F3">
        <w:rPr>
          <w:rFonts w:eastAsia="Times New Roman" w:cs="Times New Roman"/>
          <w:bCs/>
          <w:color w:val="000000" w:themeColor="text1"/>
        </w:rPr>
        <w:t xml:space="preserve">MDEQ </w:t>
      </w:r>
      <w:r w:rsidR="001D26CB" w:rsidRPr="00F144F3">
        <w:rPr>
          <w:rFonts w:eastAsia="Times New Roman" w:cs="Times New Roman"/>
          <w:bCs/>
          <w:color w:val="000000" w:themeColor="text1"/>
        </w:rPr>
        <w:t xml:space="preserve">recommended </w:t>
      </w:r>
      <w:r w:rsidRPr="00F144F3">
        <w:rPr>
          <w:rFonts w:eastAsia="Times New Roman" w:cs="Times New Roman"/>
          <w:bCs/>
          <w:color w:val="000000" w:themeColor="text1"/>
        </w:rPr>
        <w:t xml:space="preserve">screening </w:t>
      </w:r>
      <w:r w:rsidR="003C4736" w:rsidRPr="00F144F3">
        <w:rPr>
          <w:rFonts w:eastAsia="Times New Roman" w:cs="Times New Roman"/>
          <w:bCs/>
          <w:color w:val="000000" w:themeColor="text1"/>
        </w:rPr>
        <w:t xml:space="preserve">and nutrient standard </w:t>
      </w:r>
      <w:r w:rsidRPr="00F144F3">
        <w:rPr>
          <w:rFonts w:eastAsia="Times New Roman" w:cs="Times New Roman"/>
          <w:bCs/>
          <w:color w:val="000000" w:themeColor="text1"/>
        </w:rPr>
        <w:t>value</w:t>
      </w:r>
      <w:r w:rsidR="003C4736" w:rsidRPr="00F144F3">
        <w:rPr>
          <w:rFonts w:eastAsia="Times New Roman" w:cs="Times New Roman"/>
          <w:bCs/>
          <w:color w:val="000000" w:themeColor="text1"/>
        </w:rPr>
        <w:t>s</w:t>
      </w:r>
      <w:r w:rsidRPr="00F144F3">
        <w:rPr>
          <w:rFonts w:eastAsia="Times New Roman" w:cs="Times New Roman"/>
          <w:bCs/>
          <w:color w:val="000000" w:themeColor="text1"/>
        </w:rPr>
        <w:t xml:space="preserve"> for </w:t>
      </w:r>
      <w:r w:rsidR="003C4736" w:rsidRPr="00F144F3">
        <w:rPr>
          <w:rFonts w:eastAsia="Times New Roman" w:cs="Times New Roman"/>
          <w:bCs/>
          <w:color w:val="000000" w:themeColor="text1"/>
        </w:rPr>
        <w:t xml:space="preserve">NN and TN </w:t>
      </w:r>
      <w:r w:rsidR="0082785F" w:rsidRPr="00F144F3">
        <w:rPr>
          <w:rFonts w:eastAsia="Times New Roman" w:cs="Times New Roman"/>
          <w:bCs/>
          <w:color w:val="000000" w:themeColor="text1"/>
        </w:rPr>
        <w:t>concentrations</w:t>
      </w:r>
      <w:r w:rsidR="003C4736" w:rsidRPr="00F144F3">
        <w:rPr>
          <w:rFonts w:eastAsia="Times New Roman" w:cs="Times New Roman"/>
          <w:bCs/>
          <w:color w:val="000000" w:themeColor="text1"/>
        </w:rPr>
        <w:t xml:space="preserve">, respectively, </w:t>
      </w:r>
      <w:r w:rsidRPr="00F144F3">
        <w:rPr>
          <w:rFonts w:eastAsia="Times New Roman" w:cs="Times New Roman"/>
          <w:bCs/>
          <w:color w:val="000000" w:themeColor="text1"/>
        </w:rPr>
        <w:t xml:space="preserve">and 6 of 7 sites exceeded the nutrient standard for </w:t>
      </w:r>
      <w:r w:rsidR="003C4736" w:rsidRPr="00F144F3">
        <w:rPr>
          <w:rFonts w:eastAsia="Times New Roman" w:cs="Times New Roman"/>
          <w:bCs/>
          <w:color w:val="000000" w:themeColor="text1"/>
        </w:rPr>
        <w:t>TP</w:t>
      </w:r>
      <w:r w:rsidR="0082785F" w:rsidRPr="00F144F3">
        <w:rPr>
          <w:rFonts w:eastAsia="Times New Roman" w:cs="Times New Roman"/>
          <w:bCs/>
          <w:color w:val="000000" w:themeColor="text1"/>
        </w:rPr>
        <w:t xml:space="preserve"> concentrations</w:t>
      </w:r>
      <w:r w:rsidRPr="00F144F3">
        <w:rPr>
          <w:rFonts w:eastAsia="Times New Roman" w:cs="Times New Roman"/>
          <w:bCs/>
          <w:color w:val="000000" w:themeColor="text1"/>
        </w:rPr>
        <w:t>.</w:t>
      </w:r>
      <w:r w:rsidR="001D26CB" w:rsidRPr="00F144F3">
        <w:rPr>
          <w:rFonts w:eastAsia="Times New Roman" w:cs="Times New Roman"/>
          <w:bCs/>
          <w:color w:val="000000" w:themeColor="text1"/>
        </w:rPr>
        <w:t xml:space="preserve"> </w:t>
      </w:r>
      <w:r w:rsidR="003C4736" w:rsidRPr="00F144F3">
        <w:rPr>
          <w:rFonts w:eastAsia="Times New Roman" w:cs="Times New Roman"/>
          <w:bCs/>
          <w:color w:val="000000" w:themeColor="text1"/>
        </w:rPr>
        <w:t xml:space="preserve"> Since the initiation of this study in April</w:t>
      </w:r>
      <w:r w:rsidR="00BB52FB">
        <w:rPr>
          <w:rFonts w:eastAsia="Times New Roman" w:cs="Times New Roman"/>
          <w:bCs/>
          <w:color w:val="000000" w:themeColor="text1"/>
        </w:rPr>
        <w:t xml:space="preserve"> </w:t>
      </w:r>
      <w:r w:rsidR="003C4736" w:rsidRPr="00F144F3">
        <w:rPr>
          <w:rFonts w:eastAsia="Times New Roman" w:cs="Times New Roman"/>
          <w:bCs/>
          <w:color w:val="000000" w:themeColor="text1"/>
        </w:rPr>
        <w:t>2016</w:t>
      </w:r>
      <w:r w:rsidRPr="00F144F3">
        <w:rPr>
          <w:rFonts w:eastAsia="Times New Roman" w:cs="Times New Roman"/>
          <w:bCs/>
          <w:color w:val="000000" w:themeColor="text1"/>
        </w:rPr>
        <w:t xml:space="preserve">, these </w:t>
      </w:r>
      <w:r w:rsidR="003C4736" w:rsidRPr="00F144F3">
        <w:rPr>
          <w:rFonts w:eastAsia="Times New Roman" w:cs="Times New Roman"/>
          <w:bCs/>
          <w:color w:val="000000" w:themeColor="text1"/>
        </w:rPr>
        <w:t>we</w:t>
      </w:r>
      <w:r w:rsidRPr="00F144F3">
        <w:rPr>
          <w:rFonts w:eastAsia="Times New Roman" w:cs="Times New Roman"/>
          <w:bCs/>
          <w:color w:val="000000" w:themeColor="text1"/>
        </w:rPr>
        <w:t xml:space="preserve">re the first observed instances of nutrient concentrations exceeding the </w:t>
      </w:r>
      <w:r w:rsidR="00275739" w:rsidRPr="00F144F3">
        <w:rPr>
          <w:rFonts w:eastAsia="Times New Roman" w:cs="Times New Roman"/>
          <w:bCs/>
          <w:color w:val="000000" w:themeColor="text1"/>
        </w:rPr>
        <w:t xml:space="preserve">MDEQ </w:t>
      </w:r>
      <w:r w:rsidRPr="00F144F3">
        <w:rPr>
          <w:rFonts w:eastAsia="Times New Roman" w:cs="Times New Roman"/>
          <w:bCs/>
          <w:color w:val="000000" w:themeColor="text1"/>
        </w:rPr>
        <w:t>nutrient standards and screening values</w:t>
      </w:r>
      <w:r w:rsidR="00BB52FB">
        <w:rPr>
          <w:rFonts w:eastAsia="Times New Roman" w:cs="Times New Roman"/>
          <w:bCs/>
          <w:color w:val="000000" w:themeColor="text1"/>
        </w:rPr>
        <w:t>,</w:t>
      </w:r>
      <w:r w:rsidRPr="00F144F3">
        <w:rPr>
          <w:rFonts w:eastAsia="Times New Roman" w:cs="Times New Roman"/>
          <w:bCs/>
          <w:color w:val="000000" w:themeColor="text1"/>
        </w:rPr>
        <w:t xml:space="preserve"> </w:t>
      </w:r>
      <w:r w:rsidR="00275739" w:rsidRPr="00F144F3">
        <w:rPr>
          <w:rFonts w:eastAsia="Times New Roman" w:cs="Times New Roman"/>
          <w:bCs/>
          <w:color w:val="000000" w:themeColor="text1"/>
        </w:rPr>
        <w:t>and most sites have been in exceedance of the thresholds since then, especially in the Fall of 2018 and 2019.</w:t>
      </w:r>
    </w:p>
    <w:p w14:paraId="38E173D2" w14:textId="77777777" w:rsidR="001D26CB" w:rsidRDefault="001D26CB" w:rsidP="004A7B76">
      <w:pPr>
        <w:jc w:val="both"/>
        <w:rPr>
          <w:rFonts w:eastAsia="Times New Roman" w:cs="Times New Roman"/>
          <w:bCs/>
          <w:color w:val="333333"/>
        </w:rPr>
      </w:pPr>
    </w:p>
    <w:p w14:paraId="00F092D8" w14:textId="1903B96A" w:rsidR="001D26CB" w:rsidRPr="001D26CB" w:rsidRDefault="001D26CB" w:rsidP="004A7B76">
      <w:pPr>
        <w:jc w:val="both"/>
        <w:rPr>
          <w:rFonts w:eastAsia="Times New Roman" w:cs="Times New Roman"/>
          <w:bCs/>
          <w:color w:val="333333"/>
        </w:rPr>
      </w:pPr>
      <w:r>
        <w:t>Th</w:t>
      </w:r>
      <w:r w:rsidR="009D4C46">
        <w:t>ese continued increases in the Upper Missouri River nutrient levels</w:t>
      </w:r>
      <w:r>
        <w:t xml:space="preserve"> </w:t>
      </w:r>
      <w:r w:rsidR="009D4C46">
        <w:t xml:space="preserve">to concentrations </w:t>
      </w:r>
      <w:r>
        <w:t>exceed</w:t>
      </w:r>
      <w:r w:rsidR="009D4C46">
        <w:t>ing</w:t>
      </w:r>
      <w:r>
        <w:t xml:space="preserve"> the recommended levels set by MDEQ</w:t>
      </w:r>
      <w:r w:rsidR="009D4C46">
        <w:t xml:space="preserve"> </w:t>
      </w:r>
      <w:r>
        <w:t xml:space="preserve">is </w:t>
      </w:r>
      <w:r w:rsidR="009D4C46">
        <w:t xml:space="preserve">a significant </w:t>
      </w:r>
      <w:r>
        <w:t xml:space="preserve">cause for concern. </w:t>
      </w:r>
      <w:r w:rsidR="009D4C46">
        <w:t xml:space="preserve"> H</w:t>
      </w:r>
      <w:r>
        <w:t xml:space="preserve">igh nutrient levels </w:t>
      </w:r>
      <w:r w:rsidR="009D4C46">
        <w:t>caus</w:t>
      </w:r>
      <w:r w:rsidR="00C40690">
        <w:t xml:space="preserve">ally related </w:t>
      </w:r>
      <w:r w:rsidR="00BB52FB">
        <w:t>t</w:t>
      </w:r>
      <w:r w:rsidR="00C40690">
        <w:t>o</w:t>
      </w:r>
      <w:r w:rsidR="009D4C46">
        <w:t xml:space="preserve"> </w:t>
      </w:r>
      <w:r w:rsidR="00BB52FB">
        <w:t xml:space="preserve">the </w:t>
      </w:r>
      <w:r w:rsidR="009D4C46">
        <w:t xml:space="preserve">excessive aquatic plant and algae growth </w:t>
      </w:r>
      <w:r>
        <w:t>are the biggest threat</w:t>
      </w:r>
      <w:r w:rsidR="009D4C46">
        <w:t>s</w:t>
      </w:r>
      <w:r>
        <w:t xml:space="preserve"> that the Upper Missouri River is </w:t>
      </w:r>
      <w:r w:rsidR="00F144F3">
        <w:t xml:space="preserve">currently </w:t>
      </w:r>
      <w:r>
        <w:t xml:space="preserve">facing. </w:t>
      </w:r>
      <w:r w:rsidR="009D4C46">
        <w:t xml:space="preserve"> </w:t>
      </w:r>
      <w:r>
        <w:t>It is critical that UMOWA continue to monitor water quality</w:t>
      </w:r>
      <w:r w:rsidR="00F144F3">
        <w:t xml:space="preserve"> parameters</w:t>
      </w:r>
      <w:r>
        <w:t xml:space="preserve"> in 20</w:t>
      </w:r>
      <w:r w:rsidR="009D4C46">
        <w:t>20</w:t>
      </w:r>
      <w:r>
        <w:t xml:space="preserve"> to see if </w:t>
      </w:r>
      <w:r w:rsidR="009D4C46">
        <w:t xml:space="preserve">these </w:t>
      </w:r>
      <w:r>
        <w:t xml:space="preserve">nutrient concentrations remain at </w:t>
      </w:r>
      <w:r w:rsidR="00F144F3">
        <w:t>impaired</w:t>
      </w:r>
      <w:r>
        <w:t xml:space="preserve"> levels.</w:t>
      </w:r>
      <w:r w:rsidR="00F144F3">
        <w:t xml:space="preserve">  Additional </w:t>
      </w:r>
      <w:r w:rsidR="00C40690">
        <w:t xml:space="preserve">upstream watershed </w:t>
      </w:r>
      <w:r w:rsidR="00F144F3">
        <w:t xml:space="preserve">BMP measures </w:t>
      </w:r>
      <w:r w:rsidR="00BB52FB">
        <w:t xml:space="preserve">(riparian vegetation buffers, cattle fencing, etc.) </w:t>
      </w:r>
      <w:r w:rsidR="00C40690">
        <w:t xml:space="preserve">should be evaluated </w:t>
      </w:r>
      <w:r w:rsidR="00F144F3">
        <w:t xml:space="preserve">to alleviate non-point source nutrient additions to the </w:t>
      </w:r>
      <w:r w:rsidR="00BB52FB">
        <w:t>eco</w:t>
      </w:r>
      <w:r w:rsidR="00F144F3">
        <w:t>system</w:t>
      </w:r>
      <w:r w:rsidR="00BB52FB">
        <w:t xml:space="preserve">. </w:t>
      </w:r>
      <w:r w:rsidR="00F144F3">
        <w:t xml:space="preserve"> </w:t>
      </w:r>
    </w:p>
    <w:p w14:paraId="2E4962B4" w14:textId="77777777" w:rsidR="00C64663" w:rsidRDefault="00C64663" w:rsidP="004A7B76">
      <w:pPr>
        <w:jc w:val="both"/>
        <w:rPr>
          <w:rFonts w:eastAsia="Times New Roman" w:cs="Times New Roman"/>
          <w:bCs/>
          <w:color w:val="333333"/>
        </w:rPr>
      </w:pPr>
    </w:p>
    <w:p w14:paraId="78002006" w14:textId="77777777" w:rsidR="00C64663" w:rsidRPr="00C64663" w:rsidRDefault="00C64663" w:rsidP="00C64663"/>
    <w:p w14:paraId="05B5C8B8" w14:textId="1E999297" w:rsidR="00005BBC" w:rsidRDefault="0011000D" w:rsidP="00005BBC">
      <w:pPr>
        <w:pStyle w:val="Heading1"/>
      </w:pPr>
      <w:bookmarkStart w:id="23" w:name="_Toc380156871"/>
      <w:r>
        <w:t>6.0 R</w:t>
      </w:r>
      <w:r w:rsidR="00005BBC">
        <w:t>eferences</w:t>
      </w:r>
      <w:bookmarkEnd w:id="23"/>
    </w:p>
    <w:p w14:paraId="29E1FFDB" w14:textId="77777777" w:rsidR="00005BBC" w:rsidRDefault="00005BBC" w:rsidP="00005BBC">
      <w:pPr>
        <w:rPr>
          <w:rFonts w:eastAsia="Times New Roman" w:cs="Times New Roman"/>
          <w:bCs/>
          <w:color w:val="333333"/>
        </w:rPr>
      </w:pPr>
    </w:p>
    <w:p w14:paraId="5E213332" w14:textId="7ABDE99A" w:rsidR="00005BBC" w:rsidRDefault="00005BBC" w:rsidP="00005BBC">
      <w:pPr>
        <w:rPr>
          <w:rFonts w:eastAsia="Times New Roman" w:cs="Times New Roman"/>
          <w:bCs/>
          <w:color w:val="333333"/>
        </w:rPr>
      </w:pPr>
      <w:r w:rsidRPr="00112D4F">
        <w:rPr>
          <w:rFonts w:eastAsia="Times New Roman" w:cs="Times New Roman"/>
          <w:bCs/>
          <w:color w:val="333333"/>
        </w:rPr>
        <w:t xml:space="preserve">Appendix A: Impaired Waters. (2016). Available at: </w:t>
      </w:r>
      <w:hyperlink r:id="rId33" w:history="1">
        <w:r w:rsidR="003B7320" w:rsidRPr="00110193">
          <w:rPr>
            <w:rStyle w:val="Hyperlink"/>
            <w:rFonts w:eastAsia="Times New Roman" w:cs="Times New Roman"/>
            <w:bCs/>
          </w:rPr>
          <w:t>http://deq.mt.gov/Portals/Impaired Waters2016</w:t>
        </w:r>
      </w:hyperlink>
    </w:p>
    <w:p w14:paraId="25021D54" w14:textId="77777777" w:rsidR="0011000D" w:rsidRPr="00112D4F" w:rsidRDefault="0011000D" w:rsidP="00005BBC">
      <w:pPr>
        <w:rPr>
          <w:rFonts w:eastAsia="Times New Roman" w:cs="Times New Roman"/>
          <w:bCs/>
          <w:color w:val="333333"/>
        </w:rPr>
      </w:pPr>
    </w:p>
    <w:p w14:paraId="48258053" w14:textId="77777777" w:rsidR="00BB52FB" w:rsidRDefault="00BB52FB" w:rsidP="00BB52FB">
      <w:pPr>
        <w:rPr>
          <w:rFonts w:eastAsia="Times New Roman" w:cs="Times New Roman"/>
        </w:rPr>
      </w:pPr>
      <w:r>
        <w:rPr>
          <w:rFonts w:eastAsia="Times New Roman" w:cs="Times New Roman"/>
        </w:rPr>
        <w:t>Montana DEQ 2014.  Planning Prevention and Assistance Division, Water Quality Planning Bureau, Water Quality Standards Section. 2014. DEQ Circular-12A Montana Base Numeric Nutrient Standards. Helena, MT: Montana Dept. of Environmental Quality.</w:t>
      </w:r>
    </w:p>
    <w:p w14:paraId="3AB5FFAC" w14:textId="77777777" w:rsidR="00005BBC" w:rsidRPr="00112D4F" w:rsidRDefault="00005BBC" w:rsidP="00005BBC">
      <w:pPr>
        <w:rPr>
          <w:rFonts w:ascii="Helvetica" w:eastAsia="Times New Roman" w:hAnsi="Helvetica" w:cs="Times New Roman"/>
          <w:sz w:val="20"/>
          <w:szCs w:val="20"/>
        </w:rPr>
      </w:pPr>
    </w:p>
    <w:p w14:paraId="731E42A5" w14:textId="44CA53C2" w:rsidR="00005BBC" w:rsidRDefault="00005BBC" w:rsidP="00005BBC">
      <w:pPr>
        <w:rPr>
          <w:rFonts w:eastAsia="Times New Roman" w:cs="Times New Roman"/>
          <w:color w:val="000000" w:themeColor="text1"/>
        </w:rPr>
      </w:pPr>
      <w:r w:rsidRPr="0011000D">
        <w:rPr>
          <w:rFonts w:eastAsia="Times New Roman" w:cs="Times New Roman"/>
          <w:color w:val="000000" w:themeColor="text1"/>
        </w:rPr>
        <w:t>Stagliano, D. 2015. </w:t>
      </w:r>
      <w:r w:rsidR="0011000D">
        <w:rPr>
          <w:rFonts w:eastAsia="Times New Roman" w:cs="Times New Roman"/>
          <w:color w:val="000000" w:themeColor="text1"/>
        </w:rPr>
        <w:t xml:space="preserve"> </w:t>
      </w:r>
      <w:r w:rsidRPr="0011000D">
        <w:rPr>
          <w:rFonts w:eastAsia="Times New Roman" w:cs="Times New Roman"/>
          <w:color w:val="000000" w:themeColor="text1"/>
        </w:rPr>
        <w:t>UMOWA Baseline Macroinvertebrate Monitoring Report 2015 for the Upper Missouri River, MT.</w:t>
      </w:r>
      <w:r w:rsidR="0011000D">
        <w:rPr>
          <w:rFonts w:eastAsia="Times New Roman" w:cs="Times New Roman"/>
          <w:color w:val="000000" w:themeColor="text1"/>
        </w:rPr>
        <w:t xml:space="preserve"> Report to the Upper Missouri River Alliance.</w:t>
      </w:r>
    </w:p>
    <w:p w14:paraId="20FC23CD" w14:textId="03F63FA6" w:rsidR="003B7320" w:rsidRDefault="003B7320" w:rsidP="00005BBC">
      <w:pPr>
        <w:rPr>
          <w:rFonts w:eastAsia="Times New Roman" w:cs="Times New Roman"/>
          <w:color w:val="000000" w:themeColor="text1"/>
        </w:rPr>
      </w:pPr>
    </w:p>
    <w:p w14:paraId="7788D0CA" w14:textId="7F343FCD" w:rsidR="003B7320" w:rsidRPr="0011000D" w:rsidRDefault="003B7320" w:rsidP="003B7320">
      <w:pPr>
        <w:rPr>
          <w:rFonts w:eastAsia="Times New Roman" w:cs="Times New Roman"/>
          <w:color w:val="000000" w:themeColor="text1"/>
        </w:rPr>
      </w:pPr>
      <w:r w:rsidRPr="0011000D">
        <w:rPr>
          <w:rFonts w:eastAsia="Times New Roman" w:cs="Times New Roman"/>
          <w:color w:val="000000" w:themeColor="text1"/>
        </w:rPr>
        <w:t>Stagliano, D. 201</w:t>
      </w:r>
      <w:r>
        <w:rPr>
          <w:rFonts w:eastAsia="Times New Roman" w:cs="Times New Roman"/>
          <w:color w:val="000000" w:themeColor="text1"/>
        </w:rPr>
        <w:t>7</w:t>
      </w:r>
      <w:r w:rsidRPr="0011000D">
        <w:rPr>
          <w:rFonts w:eastAsia="Times New Roman" w:cs="Times New Roman"/>
          <w:color w:val="000000" w:themeColor="text1"/>
        </w:rPr>
        <w:t>. </w:t>
      </w:r>
      <w:r>
        <w:rPr>
          <w:rFonts w:eastAsia="Times New Roman" w:cs="Times New Roman"/>
          <w:color w:val="000000" w:themeColor="text1"/>
        </w:rPr>
        <w:t xml:space="preserve"> </w:t>
      </w:r>
      <w:r w:rsidRPr="0011000D">
        <w:rPr>
          <w:rFonts w:eastAsia="Times New Roman" w:cs="Times New Roman"/>
          <w:color w:val="000000" w:themeColor="text1"/>
        </w:rPr>
        <w:t xml:space="preserve">UMOWA Baseline </w:t>
      </w:r>
      <w:r>
        <w:rPr>
          <w:rFonts w:eastAsia="Times New Roman" w:cs="Times New Roman"/>
          <w:color w:val="000000" w:themeColor="text1"/>
        </w:rPr>
        <w:t xml:space="preserve">Summary </w:t>
      </w:r>
      <w:r w:rsidRPr="0011000D">
        <w:rPr>
          <w:rFonts w:eastAsia="Times New Roman" w:cs="Times New Roman"/>
          <w:color w:val="000000" w:themeColor="text1"/>
        </w:rPr>
        <w:t xml:space="preserve">Macroinvertebrate Monitoring Report </w:t>
      </w:r>
      <w:r>
        <w:rPr>
          <w:rFonts w:eastAsia="Times New Roman" w:cs="Times New Roman"/>
          <w:color w:val="000000" w:themeColor="text1"/>
        </w:rPr>
        <w:t xml:space="preserve">for </w:t>
      </w:r>
      <w:r w:rsidRPr="0011000D">
        <w:rPr>
          <w:rFonts w:eastAsia="Times New Roman" w:cs="Times New Roman"/>
          <w:color w:val="000000" w:themeColor="text1"/>
        </w:rPr>
        <w:t>2015</w:t>
      </w:r>
      <w:r>
        <w:rPr>
          <w:rFonts w:eastAsia="Times New Roman" w:cs="Times New Roman"/>
          <w:color w:val="000000" w:themeColor="text1"/>
        </w:rPr>
        <w:t xml:space="preserve">-2017 </w:t>
      </w:r>
      <w:r w:rsidRPr="0011000D">
        <w:rPr>
          <w:rFonts w:eastAsia="Times New Roman" w:cs="Times New Roman"/>
          <w:color w:val="000000" w:themeColor="text1"/>
        </w:rPr>
        <w:t>for the Upper Missouri River, MT.</w:t>
      </w:r>
      <w:r>
        <w:rPr>
          <w:rFonts w:eastAsia="Times New Roman" w:cs="Times New Roman"/>
          <w:color w:val="000000" w:themeColor="text1"/>
        </w:rPr>
        <w:t xml:space="preserve"> Report to the Upper Missouri River Alliance.</w:t>
      </w:r>
    </w:p>
    <w:p w14:paraId="18F4846C" w14:textId="61B8B8E8" w:rsidR="003B7320" w:rsidRDefault="003B7320" w:rsidP="00005BBC">
      <w:pPr>
        <w:rPr>
          <w:rFonts w:eastAsia="Times New Roman" w:cs="Times New Roman"/>
          <w:color w:val="000000" w:themeColor="text1"/>
        </w:rPr>
      </w:pPr>
    </w:p>
    <w:p w14:paraId="069A846F" w14:textId="1832D234" w:rsidR="00BB52FB" w:rsidRPr="0011000D" w:rsidRDefault="00BB52FB" w:rsidP="00005BBC">
      <w:pPr>
        <w:rPr>
          <w:rFonts w:eastAsia="Times New Roman" w:cs="Times New Roman"/>
          <w:color w:val="000000" w:themeColor="text1"/>
        </w:rPr>
      </w:pPr>
      <w:r>
        <w:rPr>
          <w:rFonts w:eastAsia="Times New Roman" w:cs="Times New Roman"/>
          <w:color w:val="000000" w:themeColor="text1"/>
        </w:rPr>
        <w:t xml:space="preserve">UMOWA. 2018.  </w:t>
      </w:r>
      <w:r w:rsidRPr="0011000D">
        <w:rPr>
          <w:rFonts w:eastAsia="Times New Roman" w:cs="Times New Roman"/>
          <w:color w:val="000000" w:themeColor="text1"/>
        </w:rPr>
        <w:t xml:space="preserve">Baseline </w:t>
      </w:r>
      <w:r>
        <w:rPr>
          <w:rFonts w:eastAsia="Times New Roman" w:cs="Times New Roman"/>
          <w:color w:val="000000" w:themeColor="text1"/>
        </w:rPr>
        <w:t xml:space="preserve">Water Quality Report </w:t>
      </w:r>
      <w:r w:rsidRPr="0011000D">
        <w:rPr>
          <w:rFonts w:eastAsia="Times New Roman" w:cs="Times New Roman"/>
          <w:color w:val="000000" w:themeColor="text1"/>
        </w:rPr>
        <w:t>201</w:t>
      </w:r>
      <w:r>
        <w:rPr>
          <w:rFonts w:eastAsia="Times New Roman" w:cs="Times New Roman"/>
          <w:color w:val="000000" w:themeColor="text1"/>
        </w:rPr>
        <w:t>6 and 2017</w:t>
      </w:r>
      <w:r w:rsidRPr="0011000D">
        <w:rPr>
          <w:rFonts w:eastAsia="Times New Roman" w:cs="Times New Roman"/>
          <w:color w:val="000000" w:themeColor="text1"/>
        </w:rPr>
        <w:t xml:space="preserve"> for the Upper Missouri River, MT.</w:t>
      </w:r>
      <w:r>
        <w:rPr>
          <w:rFonts w:eastAsia="Times New Roman" w:cs="Times New Roman"/>
          <w:color w:val="000000" w:themeColor="text1"/>
        </w:rPr>
        <w:t xml:space="preserve"> Report to the Upper Missouri River Alliance.</w:t>
      </w:r>
    </w:p>
    <w:p w14:paraId="443D872C" w14:textId="077769DF" w:rsidR="00CB7CCD" w:rsidRDefault="00CB7CCD" w:rsidP="00017C81">
      <w:pPr>
        <w:rPr>
          <w:rFonts w:eastAsia="Times New Roman" w:cs="Times New Roman"/>
        </w:rPr>
      </w:pPr>
    </w:p>
    <w:p w14:paraId="0B253D0C" w14:textId="2EA3AF35" w:rsidR="00CB7CCD" w:rsidRDefault="00CB7CCD" w:rsidP="00017C81">
      <w:pPr>
        <w:rPr>
          <w:rFonts w:eastAsia="Times New Roman" w:cs="Times New Roman"/>
        </w:rPr>
      </w:pPr>
    </w:p>
    <w:p w14:paraId="5885406C" w14:textId="0B05439B" w:rsidR="00CB7CCD" w:rsidRDefault="00CB7CCD" w:rsidP="00017C81">
      <w:pPr>
        <w:rPr>
          <w:rFonts w:eastAsia="Times New Roman" w:cs="Times New Roman"/>
        </w:rPr>
      </w:pPr>
    </w:p>
    <w:p w14:paraId="63FF5903" w14:textId="5606C1C6" w:rsidR="00CB7CCD" w:rsidRDefault="00CB7CCD" w:rsidP="00017C81">
      <w:pPr>
        <w:rPr>
          <w:rFonts w:eastAsia="Times New Roman" w:cs="Times New Roman"/>
        </w:rPr>
      </w:pPr>
    </w:p>
    <w:p w14:paraId="5C44A22B" w14:textId="500E3246" w:rsidR="00CB7CCD" w:rsidRDefault="00CB7CCD" w:rsidP="00017C81">
      <w:pPr>
        <w:rPr>
          <w:rFonts w:eastAsia="Times New Roman" w:cs="Times New Roman"/>
        </w:rPr>
      </w:pPr>
    </w:p>
    <w:p w14:paraId="4BAB7B6D" w14:textId="0CAACFD4" w:rsidR="00CB7CCD" w:rsidRDefault="00CB7CCD" w:rsidP="00017C81">
      <w:pPr>
        <w:rPr>
          <w:rFonts w:eastAsia="Times New Roman" w:cs="Times New Roman"/>
        </w:rPr>
      </w:pPr>
    </w:p>
    <w:p w14:paraId="0FF3B995" w14:textId="14233A23" w:rsidR="00CB7CCD" w:rsidRDefault="00CB7CCD" w:rsidP="00017C81">
      <w:pPr>
        <w:rPr>
          <w:rFonts w:eastAsia="Times New Roman" w:cs="Times New Roman"/>
        </w:rPr>
      </w:pPr>
    </w:p>
    <w:p w14:paraId="2679FC40" w14:textId="30CEEB2F" w:rsidR="00CB7CCD" w:rsidRDefault="00CB7CCD" w:rsidP="00017C81">
      <w:pPr>
        <w:rPr>
          <w:rFonts w:eastAsia="Times New Roman" w:cs="Times New Roman"/>
        </w:rPr>
      </w:pPr>
    </w:p>
    <w:p w14:paraId="0D212BF1" w14:textId="4C9F6310" w:rsidR="00CB7CCD" w:rsidRDefault="00CB7CCD" w:rsidP="00017C81">
      <w:pPr>
        <w:rPr>
          <w:rFonts w:eastAsia="Times New Roman" w:cs="Times New Roman"/>
        </w:rPr>
      </w:pPr>
    </w:p>
    <w:p w14:paraId="19A84497" w14:textId="675C1E48" w:rsidR="00CB7CCD" w:rsidRDefault="00CB7CCD" w:rsidP="00017C81">
      <w:pPr>
        <w:rPr>
          <w:rFonts w:eastAsia="Times New Roman" w:cs="Times New Roman"/>
        </w:rPr>
      </w:pPr>
    </w:p>
    <w:p w14:paraId="5402B0A8" w14:textId="06400A95" w:rsidR="00CB7CCD" w:rsidRDefault="00CB7CCD" w:rsidP="00017C81">
      <w:pPr>
        <w:rPr>
          <w:rFonts w:eastAsia="Times New Roman" w:cs="Times New Roman"/>
        </w:rPr>
      </w:pPr>
    </w:p>
    <w:p w14:paraId="61E298AB" w14:textId="4D07CE35" w:rsidR="00CB7CCD" w:rsidRDefault="00CB7CCD" w:rsidP="00017C81">
      <w:pPr>
        <w:rPr>
          <w:rFonts w:eastAsia="Times New Roman" w:cs="Times New Roman"/>
        </w:rPr>
      </w:pPr>
    </w:p>
    <w:p w14:paraId="3F7EAB49" w14:textId="797DD5CD" w:rsidR="00CB7CCD" w:rsidRDefault="00CB7CCD" w:rsidP="00017C81">
      <w:pPr>
        <w:rPr>
          <w:rFonts w:eastAsia="Times New Roman" w:cs="Times New Roman"/>
        </w:rPr>
      </w:pPr>
    </w:p>
    <w:p w14:paraId="6B8001D8" w14:textId="28D3BCB9" w:rsidR="00CB7CCD" w:rsidRDefault="00CB7CCD" w:rsidP="00017C81">
      <w:pPr>
        <w:rPr>
          <w:rFonts w:eastAsia="Times New Roman" w:cs="Times New Roman"/>
        </w:rPr>
      </w:pPr>
    </w:p>
    <w:p w14:paraId="5DFBC56B" w14:textId="1ED18D43" w:rsidR="00CB7CCD" w:rsidRDefault="00CB7CCD" w:rsidP="00017C81">
      <w:pPr>
        <w:rPr>
          <w:rFonts w:eastAsia="Times New Roman" w:cs="Times New Roman"/>
        </w:rPr>
      </w:pPr>
    </w:p>
    <w:p w14:paraId="682512B0" w14:textId="714AD17C" w:rsidR="00CB7CCD" w:rsidRDefault="00CB7CCD" w:rsidP="00017C81">
      <w:pPr>
        <w:rPr>
          <w:rFonts w:eastAsia="Times New Roman" w:cs="Times New Roman"/>
        </w:rPr>
      </w:pPr>
    </w:p>
    <w:p w14:paraId="5E53834C" w14:textId="44E0E130" w:rsidR="00CB7CCD" w:rsidRDefault="00CB7CCD" w:rsidP="00017C81">
      <w:pPr>
        <w:rPr>
          <w:rFonts w:eastAsia="Times New Roman" w:cs="Times New Roman"/>
        </w:rPr>
      </w:pPr>
    </w:p>
    <w:p w14:paraId="022BBB78" w14:textId="62C39394" w:rsidR="00CB7CCD" w:rsidRDefault="00CB7CCD" w:rsidP="00017C81">
      <w:pPr>
        <w:rPr>
          <w:rFonts w:eastAsia="Times New Roman" w:cs="Times New Roman"/>
        </w:rPr>
      </w:pPr>
    </w:p>
    <w:p w14:paraId="04017C53" w14:textId="480B2151" w:rsidR="00CB7CCD" w:rsidRDefault="00CB7CCD" w:rsidP="00017C81">
      <w:pPr>
        <w:rPr>
          <w:rFonts w:eastAsia="Times New Roman" w:cs="Times New Roman"/>
        </w:rPr>
      </w:pPr>
    </w:p>
    <w:p w14:paraId="6E09FDDC" w14:textId="105CCE2C" w:rsidR="00CB7CCD" w:rsidRDefault="00CB7CCD" w:rsidP="00017C81">
      <w:pPr>
        <w:rPr>
          <w:rFonts w:eastAsia="Times New Roman" w:cs="Times New Roman"/>
        </w:rPr>
      </w:pPr>
    </w:p>
    <w:p w14:paraId="535E1B2A" w14:textId="5C450867" w:rsidR="00CB7CCD" w:rsidRDefault="00CB7CCD" w:rsidP="00017C81">
      <w:pPr>
        <w:rPr>
          <w:rFonts w:eastAsia="Times New Roman" w:cs="Times New Roman"/>
        </w:rPr>
      </w:pPr>
    </w:p>
    <w:p w14:paraId="5F6031B4" w14:textId="085FC1E0" w:rsidR="00CB7CCD" w:rsidRDefault="00CB7CCD" w:rsidP="00017C81">
      <w:pPr>
        <w:rPr>
          <w:rFonts w:eastAsia="Times New Roman" w:cs="Times New Roman"/>
        </w:rPr>
      </w:pPr>
    </w:p>
    <w:p w14:paraId="5C9D6F09" w14:textId="1EB9A31C" w:rsidR="00CB7CCD" w:rsidRDefault="00CB7CCD" w:rsidP="00017C81">
      <w:pPr>
        <w:rPr>
          <w:rFonts w:eastAsia="Times New Roman" w:cs="Times New Roman"/>
        </w:rPr>
      </w:pPr>
    </w:p>
    <w:p w14:paraId="52B31FCB" w14:textId="3CD7988C" w:rsidR="00CB7CCD" w:rsidRDefault="00CB7CCD" w:rsidP="00017C81">
      <w:pPr>
        <w:rPr>
          <w:rFonts w:eastAsia="Times New Roman" w:cs="Times New Roman"/>
        </w:rPr>
      </w:pPr>
    </w:p>
    <w:p w14:paraId="3603F89E" w14:textId="5165A35C" w:rsidR="00CB7CCD" w:rsidRDefault="00CB7CCD" w:rsidP="00017C81">
      <w:pPr>
        <w:rPr>
          <w:rFonts w:eastAsia="Times New Roman" w:cs="Times New Roman"/>
        </w:rPr>
      </w:pPr>
    </w:p>
    <w:p w14:paraId="4338D1B8" w14:textId="75D25CC0" w:rsidR="00CB7CCD" w:rsidRDefault="00CB7CCD" w:rsidP="00017C81">
      <w:pPr>
        <w:rPr>
          <w:rFonts w:eastAsia="Times New Roman" w:cs="Times New Roman"/>
        </w:rPr>
      </w:pPr>
    </w:p>
    <w:p w14:paraId="223D3AF2" w14:textId="220B1FDF" w:rsidR="00CB7CCD" w:rsidRDefault="00CB7CCD" w:rsidP="00017C81">
      <w:pPr>
        <w:rPr>
          <w:rFonts w:eastAsia="Times New Roman" w:cs="Times New Roman"/>
        </w:rPr>
      </w:pPr>
    </w:p>
    <w:p w14:paraId="1FD26C34" w14:textId="668DD796" w:rsidR="00CB7CCD" w:rsidRDefault="00CB7CCD" w:rsidP="00017C81">
      <w:pPr>
        <w:rPr>
          <w:rFonts w:eastAsia="Times New Roman" w:cs="Times New Roman"/>
        </w:rPr>
      </w:pPr>
    </w:p>
    <w:p w14:paraId="6A948762" w14:textId="5F1A9809" w:rsidR="00CB7CCD" w:rsidRDefault="00CB7CCD" w:rsidP="00017C81">
      <w:pPr>
        <w:rPr>
          <w:rFonts w:eastAsia="Times New Roman" w:cs="Times New Roman"/>
        </w:rPr>
      </w:pPr>
    </w:p>
    <w:p w14:paraId="1A477E85" w14:textId="43CD6159" w:rsidR="00CB7CCD" w:rsidRDefault="00CB7CCD" w:rsidP="00017C81">
      <w:pPr>
        <w:rPr>
          <w:rFonts w:eastAsia="Times New Roman" w:cs="Times New Roman"/>
        </w:rPr>
      </w:pPr>
    </w:p>
    <w:p w14:paraId="391C738A" w14:textId="138957AB" w:rsidR="00CB7CCD" w:rsidRDefault="00CB7CCD" w:rsidP="00017C81">
      <w:pPr>
        <w:rPr>
          <w:rFonts w:eastAsia="Times New Roman" w:cs="Times New Roman"/>
        </w:rPr>
      </w:pPr>
    </w:p>
    <w:p w14:paraId="16F4E921" w14:textId="4CA05EB2" w:rsidR="00CB7CCD" w:rsidRDefault="00CB7CCD" w:rsidP="00017C81">
      <w:pPr>
        <w:rPr>
          <w:rFonts w:eastAsia="Times New Roman" w:cs="Times New Roman"/>
        </w:rPr>
      </w:pPr>
    </w:p>
    <w:p w14:paraId="3F5DA5FC" w14:textId="06B58DCA" w:rsidR="00CB7CCD" w:rsidRDefault="00CB7CCD" w:rsidP="00017C81">
      <w:pPr>
        <w:rPr>
          <w:rFonts w:eastAsia="Times New Roman" w:cs="Times New Roman"/>
        </w:rPr>
      </w:pPr>
    </w:p>
    <w:p w14:paraId="7E0D3EAB" w14:textId="5D2A207A" w:rsidR="00CB7CCD" w:rsidRDefault="00CB7CCD" w:rsidP="00017C81">
      <w:pPr>
        <w:rPr>
          <w:rFonts w:eastAsia="Times New Roman" w:cs="Times New Roman"/>
        </w:rPr>
      </w:pPr>
    </w:p>
    <w:p w14:paraId="342CD9FD" w14:textId="37B38771" w:rsidR="00CB7CCD" w:rsidRDefault="00CB7CCD" w:rsidP="00017C81">
      <w:pPr>
        <w:rPr>
          <w:rFonts w:eastAsia="Times New Roman" w:cs="Times New Roman"/>
        </w:rPr>
      </w:pPr>
    </w:p>
    <w:p w14:paraId="7D5FCD4B" w14:textId="5F53AEE1" w:rsidR="00CB7CCD" w:rsidRDefault="00CB7CCD" w:rsidP="00017C81">
      <w:pPr>
        <w:rPr>
          <w:rFonts w:eastAsia="Times New Roman" w:cs="Times New Roman"/>
        </w:rPr>
      </w:pPr>
    </w:p>
    <w:p w14:paraId="2868D8AA" w14:textId="594CACF3" w:rsidR="00CB7CCD" w:rsidRDefault="00CB7CCD" w:rsidP="00017C81">
      <w:pPr>
        <w:rPr>
          <w:rFonts w:eastAsia="Times New Roman" w:cs="Times New Roman"/>
        </w:rPr>
      </w:pPr>
    </w:p>
    <w:p w14:paraId="6D93D325" w14:textId="5B182FB8" w:rsidR="00CB7CCD" w:rsidRDefault="00CB7CCD" w:rsidP="00017C81">
      <w:pPr>
        <w:rPr>
          <w:rFonts w:eastAsia="Times New Roman" w:cs="Times New Roman"/>
        </w:rPr>
      </w:pPr>
    </w:p>
    <w:p w14:paraId="49EB9AA8" w14:textId="6E98FFB0" w:rsidR="00CB7CCD" w:rsidRDefault="00CB7CCD" w:rsidP="00017C81">
      <w:pPr>
        <w:rPr>
          <w:rFonts w:eastAsia="Times New Roman" w:cs="Times New Roman"/>
        </w:rPr>
      </w:pPr>
    </w:p>
    <w:p w14:paraId="7E95E8E9" w14:textId="274C40D3" w:rsidR="00CB7CCD" w:rsidRDefault="00CB7CCD" w:rsidP="00017C81">
      <w:pPr>
        <w:rPr>
          <w:rFonts w:eastAsia="Times New Roman" w:cs="Times New Roman"/>
        </w:rPr>
      </w:pPr>
    </w:p>
    <w:p w14:paraId="335FAB9B" w14:textId="784721B0" w:rsidR="0068448C" w:rsidRDefault="0068448C" w:rsidP="00017C81">
      <w:pPr>
        <w:rPr>
          <w:rFonts w:eastAsia="Times New Roman" w:cs="Times New Roman"/>
        </w:rPr>
      </w:pPr>
    </w:p>
    <w:p w14:paraId="5BE4489C" w14:textId="5FC26342" w:rsidR="0068448C" w:rsidRDefault="0068448C" w:rsidP="00017C81">
      <w:pPr>
        <w:rPr>
          <w:rFonts w:eastAsia="Times New Roman" w:cs="Times New Roman"/>
        </w:rPr>
      </w:pPr>
    </w:p>
    <w:p w14:paraId="3F66CBF8" w14:textId="65ABBFA2" w:rsidR="0068448C" w:rsidRDefault="0068448C" w:rsidP="00017C81">
      <w:pPr>
        <w:rPr>
          <w:rFonts w:eastAsia="Times New Roman" w:cs="Times New Roman"/>
        </w:rPr>
      </w:pPr>
    </w:p>
    <w:p w14:paraId="08E3A231" w14:textId="1FD1DA57" w:rsidR="0068448C" w:rsidRDefault="0068448C" w:rsidP="00017C81">
      <w:pPr>
        <w:rPr>
          <w:rFonts w:eastAsia="Times New Roman" w:cs="Times New Roman"/>
        </w:rPr>
      </w:pPr>
    </w:p>
    <w:p w14:paraId="50B1F958" w14:textId="77777777" w:rsidR="0068448C" w:rsidRDefault="0068448C" w:rsidP="00017C81">
      <w:pPr>
        <w:rPr>
          <w:rFonts w:eastAsia="Times New Roman" w:cs="Times New Roman"/>
        </w:rPr>
      </w:pPr>
    </w:p>
    <w:p w14:paraId="4188B25A" w14:textId="342F0E19" w:rsidR="00CB7CCD" w:rsidRDefault="00CB7CCD" w:rsidP="00017C81">
      <w:pPr>
        <w:rPr>
          <w:rFonts w:eastAsia="Times New Roman" w:cs="Times New Roman"/>
        </w:rPr>
      </w:pPr>
    </w:p>
    <w:p w14:paraId="0C3CA209" w14:textId="0D20FBA7" w:rsidR="00CB7CCD" w:rsidRDefault="00CB7CCD" w:rsidP="00017C81">
      <w:pPr>
        <w:rPr>
          <w:rFonts w:eastAsia="Times New Roman" w:cs="Times New Roman"/>
        </w:rPr>
      </w:pPr>
    </w:p>
    <w:p w14:paraId="4562FAFA" w14:textId="34624489" w:rsidR="00CB7CCD" w:rsidRDefault="00CB7CCD" w:rsidP="0068448C">
      <w:pPr>
        <w:jc w:val="center"/>
        <w:rPr>
          <w:rFonts w:eastAsia="Times New Roman" w:cs="Times New Roman"/>
          <w:b/>
          <w:bCs/>
          <w:sz w:val="28"/>
          <w:szCs w:val="28"/>
        </w:rPr>
      </w:pPr>
      <w:r w:rsidRPr="00CB7CCD">
        <w:rPr>
          <w:rFonts w:eastAsia="Times New Roman" w:cs="Times New Roman"/>
          <w:b/>
          <w:bCs/>
          <w:sz w:val="28"/>
          <w:szCs w:val="28"/>
        </w:rPr>
        <w:t>APPENDIX A.  WATER QUALITY RAW DATA FROM 2016-2019</w:t>
      </w:r>
    </w:p>
    <w:p w14:paraId="38EC00C7" w14:textId="50E6B74C" w:rsidR="00CB7CCD" w:rsidRDefault="00CB7CCD" w:rsidP="00017C81">
      <w:pPr>
        <w:rPr>
          <w:rFonts w:eastAsia="Times New Roman" w:cs="Times New Roman"/>
          <w:b/>
          <w:bCs/>
          <w:sz w:val="28"/>
          <w:szCs w:val="28"/>
        </w:rPr>
      </w:pPr>
    </w:p>
    <w:p w14:paraId="3E12B2C1" w14:textId="6E606F47" w:rsidR="00CB7CCD" w:rsidRDefault="00CB7CCD" w:rsidP="00017C81">
      <w:pPr>
        <w:rPr>
          <w:rFonts w:eastAsia="Times New Roman" w:cs="Times New Roman"/>
          <w:b/>
          <w:bCs/>
          <w:sz w:val="28"/>
          <w:szCs w:val="28"/>
        </w:rPr>
      </w:pPr>
    </w:p>
    <w:p w14:paraId="0499D67B" w14:textId="1CC5DE83" w:rsidR="00CB7CCD" w:rsidRDefault="00CB7CCD" w:rsidP="00017C81">
      <w:pPr>
        <w:rPr>
          <w:rFonts w:eastAsia="Times New Roman" w:cs="Times New Roman"/>
          <w:b/>
          <w:bCs/>
          <w:sz w:val="28"/>
          <w:szCs w:val="28"/>
        </w:rPr>
      </w:pPr>
    </w:p>
    <w:p w14:paraId="6DF61969" w14:textId="1539B879" w:rsidR="00CB7CCD" w:rsidRDefault="00CB7CCD" w:rsidP="00017C81">
      <w:pPr>
        <w:rPr>
          <w:rFonts w:eastAsia="Times New Roman" w:cs="Times New Roman"/>
          <w:b/>
          <w:bCs/>
          <w:sz w:val="28"/>
          <w:szCs w:val="28"/>
        </w:rPr>
      </w:pPr>
    </w:p>
    <w:p w14:paraId="6266C003" w14:textId="1AE12CED" w:rsidR="00CB7CCD" w:rsidRDefault="00CB7CCD" w:rsidP="00017C81">
      <w:pPr>
        <w:rPr>
          <w:rFonts w:eastAsia="Times New Roman" w:cs="Times New Roman"/>
          <w:b/>
          <w:bCs/>
          <w:sz w:val="28"/>
          <w:szCs w:val="28"/>
        </w:rPr>
      </w:pPr>
    </w:p>
    <w:p w14:paraId="4B8540E9" w14:textId="5218090E" w:rsidR="00CB7CCD" w:rsidRDefault="00CB7CCD" w:rsidP="00017C81">
      <w:pPr>
        <w:rPr>
          <w:rFonts w:eastAsia="Times New Roman" w:cs="Times New Roman"/>
          <w:b/>
          <w:bCs/>
          <w:sz w:val="28"/>
          <w:szCs w:val="28"/>
        </w:rPr>
      </w:pPr>
    </w:p>
    <w:p w14:paraId="7F2032D4" w14:textId="114AD991" w:rsidR="00CB7CCD" w:rsidRDefault="00CB7CCD" w:rsidP="00017C81">
      <w:pPr>
        <w:rPr>
          <w:rFonts w:eastAsia="Times New Roman" w:cs="Times New Roman"/>
          <w:b/>
          <w:bCs/>
          <w:sz w:val="28"/>
          <w:szCs w:val="28"/>
        </w:rPr>
      </w:pPr>
    </w:p>
    <w:p w14:paraId="7F894E89" w14:textId="5196ED2E" w:rsidR="00CB7CCD" w:rsidRDefault="00CB7CCD" w:rsidP="00017C81">
      <w:pPr>
        <w:rPr>
          <w:rFonts w:eastAsia="Times New Roman" w:cs="Times New Roman"/>
          <w:b/>
          <w:bCs/>
          <w:sz w:val="28"/>
          <w:szCs w:val="28"/>
        </w:rPr>
      </w:pPr>
    </w:p>
    <w:p w14:paraId="2615F107" w14:textId="32CC61ED" w:rsidR="00CB7CCD" w:rsidRDefault="00CB7CCD" w:rsidP="00017C81">
      <w:pPr>
        <w:rPr>
          <w:rFonts w:eastAsia="Times New Roman" w:cs="Times New Roman"/>
          <w:b/>
          <w:bCs/>
          <w:sz w:val="28"/>
          <w:szCs w:val="28"/>
        </w:rPr>
      </w:pPr>
    </w:p>
    <w:p w14:paraId="65D58668" w14:textId="4B921E4B" w:rsidR="00CB7CCD" w:rsidRDefault="00CB7CCD" w:rsidP="00017C81">
      <w:pPr>
        <w:rPr>
          <w:rFonts w:eastAsia="Times New Roman" w:cs="Times New Roman"/>
          <w:b/>
          <w:bCs/>
          <w:sz w:val="28"/>
          <w:szCs w:val="28"/>
        </w:rPr>
      </w:pPr>
    </w:p>
    <w:p w14:paraId="3FA10D45" w14:textId="2086EABB" w:rsidR="00CB7CCD" w:rsidRDefault="00CB7CCD" w:rsidP="00017C81">
      <w:pPr>
        <w:rPr>
          <w:rFonts w:eastAsia="Times New Roman" w:cs="Times New Roman"/>
          <w:b/>
          <w:bCs/>
          <w:sz w:val="28"/>
          <w:szCs w:val="28"/>
        </w:rPr>
      </w:pPr>
    </w:p>
    <w:p w14:paraId="72E7D987" w14:textId="439108D4" w:rsidR="00CB7CCD" w:rsidRDefault="00CB7CCD" w:rsidP="00017C81">
      <w:pPr>
        <w:rPr>
          <w:rFonts w:eastAsia="Times New Roman" w:cs="Times New Roman"/>
          <w:b/>
          <w:bCs/>
          <w:sz w:val="28"/>
          <w:szCs w:val="28"/>
        </w:rPr>
      </w:pPr>
    </w:p>
    <w:p w14:paraId="2E0C7F5D" w14:textId="307EDE2A" w:rsidR="00CB7CCD" w:rsidRDefault="00CB7CCD" w:rsidP="00017C81">
      <w:pPr>
        <w:rPr>
          <w:rFonts w:eastAsia="Times New Roman" w:cs="Times New Roman"/>
          <w:b/>
          <w:bCs/>
          <w:sz w:val="28"/>
          <w:szCs w:val="28"/>
        </w:rPr>
      </w:pPr>
    </w:p>
    <w:p w14:paraId="0E1DC0C3" w14:textId="2678A19A" w:rsidR="00CB7CCD" w:rsidRDefault="00CB7CCD" w:rsidP="00017C81">
      <w:pPr>
        <w:rPr>
          <w:rFonts w:eastAsia="Times New Roman" w:cs="Times New Roman"/>
          <w:b/>
          <w:bCs/>
          <w:sz w:val="28"/>
          <w:szCs w:val="28"/>
        </w:rPr>
      </w:pPr>
    </w:p>
    <w:p w14:paraId="7CDC6396" w14:textId="2DE57F1C" w:rsidR="00CB7CCD" w:rsidRDefault="00CB7CCD" w:rsidP="00017C81">
      <w:pPr>
        <w:rPr>
          <w:rFonts w:eastAsia="Times New Roman" w:cs="Times New Roman"/>
          <w:b/>
          <w:bCs/>
          <w:sz w:val="28"/>
          <w:szCs w:val="28"/>
        </w:rPr>
      </w:pPr>
    </w:p>
    <w:p w14:paraId="584A1456" w14:textId="2CFB05CE" w:rsidR="00CB7CCD" w:rsidRDefault="00CB7CCD" w:rsidP="00017C81">
      <w:pPr>
        <w:rPr>
          <w:rFonts w:eastAsia="Times New Roman" w:cs="Times New Roman"/>
          <w:b/>
          <w:bCs/>
          <w:sz w:val="28"/>
          <w:szCs w:val="28"/>
        </w:rPr>
      </w:pPr>
    </w:p>
    <w:p w14:paraId="351A6C27" w14:textId="51B3F679" w:rsidR="00CB7CCD" w:rsidRDefault="00CB7CCD" w:rsidP="00017C81">
      <w:pPr>
        <w:rPr>
          <w:rFonts w:eastAsia="Times New Roman" w:cs="Times New Roman"/>
          <w:b/>
          <w:bCs/>
          <w:sz w:val="28"/>
          <w:szCs w:val="28"/>
        </w:rPr>
      </w:pPr>
    </w:p>
    <w:p w14:paraId="000365CA" w14:textId="1D64A417" w:rsidR="00CB7CCD" w:rsidRDefault="00CB7CCD" w:rsidP="00017C81">
      <w:pPr>
        <w:rPr>
          <w:rFonts w:eastAsia="Times New Roman" w:cs="Times New Roman"/>
          <w:b/>
          <w:bCs/>
          <w:sz w:val="28"/>
          <w:szCs w:val="28"/>
        </w:rPr>
      </w:pPr>
    </w:p>
    <w:p w14:paraId="38F7D88E" w14:textId="173B8ADB" w:rsidR="00CB7CCD" w:rsidRDefault="00CB7CCD" w:rsidP="00017C81">
      <w:pPr>
        <w:rPr>
          <w:rFonts w:eastAsia="Times New Roman" w:cs="Times New Roman"/>
          <w:b/>
          <w:bCs/>
          <w:sz w:val="28"/>
          <w:szCs w:val="28"/>
        </w:rPr>
      </w:pPr>
    </w:p>
    <w:p w14:paraId="624AA576" w14:textId="64BA78A8" w:rsidR="00CB7CCD" w:rsidRDefault="00CB7CCD" w:rsidP="00017C81">
      <w:pPr>
        <w:rPr>
          <w:rFonts w:eastAsia="Times New Roman" w:cs="Times New Roman"/>
          <w:b/>
          <w:bCs/>
          <w:sz w:val="28"/>
          <w:szCs w:val="28"/>
        </w:rPr>
      </w:pPr>
    </w:p>
    <w:p w14:paraId="60B3A83C" w14:textId="6749F284" w:rsidR="00CB7CCD" w:rsidRDefault="00CB7CCD" w:rsidP="00017C81">
      <w:pPr>
        <w:rPr>
          <w:rFonts w:eastAsia="Times New Roman" w:cs="Times New Roman"/>
          <w:b/>
          <w:bCs/>
          <w:sz w:val="28"/>
          <w:szCs w:val="28"/>
        </w:rPr>
      </w:pPr>
    </w:p>
    <w:p w14:paraId="1AE9A14D" w14:textId="0FDDB74E" w:rsidR="00CB7CCD" w:rsidRDefault="00CB7CCD" w:rsidP="00017C81">
      <w:pPr>
        <w:rPr>
          <w:rFonts w:eastAsia="Times New Roman" w:cs="Times New Roman"/>
          <w:b/>
          <w:bCs/>
          <w:sz w:val="28"/>
          <w:szCs w:val="28"/>
        </w:rPr>
      </w:pPr>
    </w:p>
    <w:p w14:paraId="47CDE4E1" w14:textId="40D278C2" w:rsidR="00CB7CCD" w:rsidRDefault="00CB7CCD" w:rsidP="00017C81">
      <w:pPr>
        <w:rPr>
          <w:rFonts w:eastAsia="Times New Roman" w:cs="Times New Roman"/>
          <w:b/>
          <w:bCs/>
          <w:sz w:val="28"/>
          <w:szCs w:val="28"/>
        </w:rPr>
      </w:pPr>
    </w:p>
    <w:p w14:paraId="656F8F54" w14:textId="03DA7617" w:rsidR="00CB7CCD" w:rsidRDefault="00CB7CCD" w:rsidP="00017C81">
      <w:pPr>
        <w:rPr>
          <w:rFonts w:eastAsia="Times New Roman" w:cs="Times New Roman"/>
          <w:b/>
          <w:bCs/>
          <w:sz w:val="28"/>
          <w:szCs w:val="28"/>
        </w:rPr>
      </w:pPr>
    </w:p>
    <w:p w14:paraId="6EF10B65" w14:textId="304F26FD" w:rsidR="00CB7CCD" w:rsidRDefault="00CB7CCD" w:rsidP="00017C81">
      <w:pPr>
        <w:rPr>
          <w:rFonts w:eastAsia="Times New Roman" w:cs="Times New Roman"/>
          <w:b/>
          <w:bCs/>
          <w:sz w:val="28"/>
          <w:szCs w:val="28"/>
        </w:rPr>
      </w:pPr>
    </w:p>
    <w:p w14:paraId="67979724" w14:textId="3D8E3B1C" w:rsidR="00CB7CCD" w:rsidRDefault="00CB7CCD" w:rsidP="00017C81">
      <w:pPr>
        <w:rPr>
          <w:rFonts w:eastAsia="Times New Roman" w:cs="Times New Roman"/>
          <w:b/>
          <w:bCs/>
          <w:sz w:val="28"/>
          <w:szCs w:val="28"/>
        </w:rPr>
      </w:pPr>
    </w:p>
    <w:p w14:paraId="147E84C1" w14:textId="54B7A2F3" w:rsidR="00CB7CCD" w:rsidRDefault="00CB7CCD" w:rsidP="00017C81">
      <w:pPr>
        <w:rPr>
          <w:rFonts w:eastAsia="Times New Roman" w:cs="Times New Roman"/>
          <w:b/>
          <w:bCs/>
          <w:sz w:val="28"/>
          <w:szCs w:val="28"/>
        </w:rPr>
      </w:pPr>
    </w:p>
    <w:p w14:paraId="23F31F04" w14:textId="40F9B505" w:rsidR="00CB7CCD" w:rsidRDefault="00CB7CCD" w:rsidP="00017C81">
      <w:pPr>
        <w:rPr>
          <w:rFonts w:eastAsia="Times New Roman" w:cs="Times New Roman"/>
          <w:b/>
          <w:bCs/>
          <w:sz w:val="28"/>
          <w:szCs w:val="28"/>
        </w:rPr>
      </w:pPr>
    </w:p>
    <w:p w14:paraId="46A24F1E" w14:textId="5BC2049E" w:rsidR="00CB7CCD" w:rsidRDefault="00CB7CCD" w:rsidP="00017C81">
      <w:pPr>
        <w:rPr>
          <w:rFonts w:eastAsia="Times New Roman" w:cs="Times New Roman"/>
          <w:b/>
          <w:bCs/>
          <w:sz w:val="28"/>
          <w:szCs w:val="28"/>
        </w:rPr>
      </w:pPr>
    </w:p>
    <w:p w14:paraId="3D380F9E" w14:textId="2ABC01A8" w:rsidR="00CB7CCD" w:rsidRDefault="00CB7CCD" w:rsidP="00017C81">
      <w:pPr>
        <w:rPr>
          <w:rFonts w:eastAsia="Times New Roman" w:cs="Times New Roman"/>
          <w:b/>
          <w:bCs/>
          <w:sz w:val="28"/>
          <w:szCs w:val="28"/>
        </w:rPr>
      </w:pPr>
    </w:p>
    <w:p w14:paraId="09985B08" w14:textId="34E902F2" w:rsidR="00CB7CCD" w:rsidRDefault="00CB7CCD" w:rsidP="00017C81">
      <w:pPr>
        <w:rPr>
          <w:rFonts w:eastAsia="Times New Roman" w:cs="Times New Roman"/>
          <w:b/>
          <w:bCs/>
          <w:sz w:val="28"/>
          <w:szCs w:val="28"/>
        </w:rPr>
      </w:pPr>
    </w:p>
    <w:p w14:paraId="6A22CADD" w14:textId="5E4DC485" w:rsidR="00CB7CCD" w:rsidRPr="00CB7CCD" w:rsidRDefault="0068448C" w:rsidP="00017C81">
      <w:pPr>
        <w:rPr>
          <w:rFonts w:eastAsia="Times New Roman" w:cs="Times New Roman"/>
          <w:b/>
          <w:bCs/>
          <w:sz w:val="28"/>
          <w:szCs w:val="28"/>
        </w:rPr>
      </w:pPr>
      <w:r w:rsidRPr="0068448C">
        <w:rPr>
          <w:noProof/>
        </w:rPr>
        <w:drawing>
          <wp:anchor distT="0" distB="0" distL="114300" distR="114300" simplePos="0" relativeHeight="251692032" behindDoc="0" locked="0" layoutInCell="1" allowOverlap="1" wp14:anchorId="7F28B915" wp14:editId="04BED05D">
            <wp:simplePos x="0" y="0"/>
            <wp:positionH relativeFrom="margin">
              <wp:posOffset>666750</wp:posOffset>
            </wp:positionH>
            <wp:positionV relativeFrom="margin">
              <wp:posOffset>-172085</wp:posOffset>
            </wp:positionV>
            <wp:extent cx="4148455" cy="8943975"/>
            <wp:effectExtent l="19050" t="19050" r="23495" b="2857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148455" cy="8943975"/>
                    </a:xfrm>
                    <a:prstGeom prst="rect">
                      <a:avLst/>
                    </a:prstGeom>
                    <a:noFill/>
                    <a:ln>
                      <a:solidFill>
                        <a:schemeClr val="tx1"/>
                      </a:solidFill>
                    </a:ln>
                  </pic:spPr>
                </pic:pic>
              </a:graphicData>
            </a:graphic>
            <wp14:sizeRelV relativeFrom="margin">
              <wp14:pctHeight>0</wp14:pctHeight>
            </wp14:sizeRelV>
          </wp:anchor>
        </w:drawing>
      </w:r>
    </w:p>
    <w:sectPr w:rsidR="00CB7CCD" w:rsidRPr="00CB7CCD" w:rsidSect="00281E7B">
      <w:headerReference w:type="even" r:id="rId35"/>
      <w:headerReference w:type="default" r:id="rId36"/>
      <w:footerReference w:type="even" r:id="rId37"/>
      <w:footerReference w:type="default" r:id="rId38"/>
      <w:headerReference w:type="first" r:id="rId39"/>
      <w:pgSz w:w="12240" w:h="15840"/>
      <w:pgMar w:top="720" w:right="1800" w:bottom="720" w:left="180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502F03" w14:textId="77777777" w:rsidR="00887ED8" w:rsidRDefault="00887ED8" w:rsidP="0047552B">
      <w:r>
        <w:separator/>
      </w:r>
    </w:p>
  </w:endnote>
  <w:endnote w:type="continuationSeparator" w:id="0">
    <w:p w14:paraId="2664C312" w14:textId="77777777" w:rsidR="00887ED8" w:rsidRDefault="00887ED8" w:rsidP="00475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70AAA8" w14:textId="77777777" w:rsidR="00FB33C7" w:rsidRDefault="00887ED8">
    <w:pPr>
      <w:pStyle w:val="Footer"/>
    </w:pPr>
    <w:sdt>
      <w:sdtPr>
        <w:id w:val="-1184887134"/>
        <w:temporary/>
        <w:showingPlcHdr/>
      </w:sdtPr>
      <w:sdtEndPr/>
      <w:sdtContent>
        <w:r w:rsidR="00FB33C7">
          <w:t>[Type text]</w:t>
        </w:r>
      </w:sdtContent>
    </w:sdt>
    <w:r w:rsidR="00FB33C7">
      <w:ptab w:relativeTo="margin" w:alignment="center" w:leader="none"/>
    </w:r>
    <w:sdt>
      <w:sdtPr>
        <w:id w:val="-1165240602"/>
        <w:temporary/>
        <w:showingPlcHdr/>
      </w:sdtPr>
      <w:sdtEndPr/>
      <w:sdtContent>
        <w:r w:rsidR="00FB33C7">
          <w:t>[Type text]</w:t>
        </w:r>
      </w:sdtContent>
    </w:sdt>
    <w:r w:rsidR="00FB33C7">
      <w:ptab w:relativeTo="margin" w:alignment="right" w:leader="none"/>
    </w:r>
    <w:sdt>
      <w:sdtPr>
        <w:id w:val="-1433280648"/>
        <w:temporary/>
        <w:showingPlcHdr/>
      </w:sdtPr>
      <w:sdtEndPr/>
      <w:sdtContent>
        <w:r w:rsidR="00FB33C7">
          <w:t>[Type text]</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C5F119" w14:textId="77777777" w:rsidR="00FB33C7" w:rsidRDefault="00FB33C7" w:rsidP="004A25FB">
    <w:pPr>
      <w:pStyle w:val="Footer"/>
      <w:jc w:val="center"/>
    </w:pPr>
    <w:r>
      <w:ptab w:relativeTo="margin" w:alignment="center" w:leader="none"/>
    </w:r>
    <w:r>
      <w:ptab w:relativeTo="margin" w:alignment="right" w:leader="none"/>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FCB92E" w14:textId="77777777" w:rsidR="00887ED8" w:rsidRDefault="00887ED8" w:rsidP="0047552B">
      <w:r>
        <w:separator/>
      </w:r>
    </w:p>
  </w:footnote>
  <w:footnote w:type="continuationSeparator" w:id="0">
    <w:p w14:paraId="70F5856B" w14:textId="77777777" w:rsidR="00887ED8" w:rsidRDefault="00887ED8" w:rsidP="004755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AC05F9" w14:textId="77777777" w:rsidR="00FB33C7" w:rsidRDefault="00887ED8">
    <w:pPr>
      <w:pStyle w:val="Header"/>
    </w:pPr>
    <w:sdt>
      <w:sdtPr>
        <w:id w:val="811061886"/>
        <w:placeholder>
          <w:docPart w:val="FCAF69A2F861DA4E9DC3316F848EF497"/>
        </w:placeholder>
        <w:temporary/>
        <w:showingPlcHdr/>
      </w:sdtPr>
      <w:sdtEndPr/>
      <w:sdtContent>
        <w:r w:rsidR="00FB33C7">
          <w:t>[Type text]</w:t>
        </w:r>
      </w:sdtContent>
    </w:sdt>
    <w:r w:rsidR="00FB33C7">
      <w:ptab w:relativeTo="margin" w:alignment="center" w:leader="none"/>
    </w:r>
    <w:sdt>
      <w:sdtPr>
        <w:id w:val="-1974515601"/>
        <w:placeholder>
          <w:docPart w:val="3A775AA4D2989B4AAED4C939253F8BD2"/>
        </w:placeholder>
        <w:temporary/>
        <w:showingPlcHdr/>
      </w:sdtPr>
      <w:sdtEndPr/>
      <w:sdtContent>
        <w:r w:rsidR="00FB33C7">
          <w:t>[Type text]</w:t>
        </w:r>
      </w:sdtContent>
    </w:sdt>
    <w:r w:rsidR="00FB33C7">
      <w:ptab w:relativeTo="margin" w:alignment="right" w:leader="none"/>
    </w:r>
    <w:sdt>
      <w:sdtPr>
        <w:id w:val="518744922"/>
        <w:placeholder>
          <w:docPart w:val="1C13F3C5543FAD45BC5E81708C7F1D50"/>
        </w:placeholder>
        <w:temporary/>
        <w:showingPlcHdr/>
      </w:sdtPr>
      <w:sdtEndPr/>
      <w:sdtContent>
        <w:r w:rsidR="00FB33C7">
          <w:t>[Type text]</w:t>
        </w:r>
      </w:sdtContent>
    </w:sdt>
  </w:p>
  <w:p w14:paraId="546DF30E" w14:textId="77777777" w:rsidR="00FB33C7" w:rsidRDefault="00FB33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287792" w14:textId="470E6905" w:rsidR="00FB33C7" w:rsidRPr="00281E7B" w:rsidRDefault="00FB33C7" w:rsidP="00E178FF">
    <w:pPr>
      <w:pStyle w:val="Header"/>
      <w:tabs>
        <w:tab w:val="clear" w:pos="4320"/>
      </w:tabs>
      <w:jc w:val="right"/>
      <w:rPr>
        <w:u w:val="single"/>
      </w:rPr>
    </w:pPr>
    <w:r w:rsidRPr="00281E7B">
      <w:rPr>
        <w:u w:val="single"/>
      </w:rPr>
      <w:t>UMOWA Missouri River Project</w:t>
    </w:r>
    <w:r>
      <w:rPr>
        <w:u w:val="single"/>
      </w:rPr>
      <w:t xml:space="preserve"> </w:t>
    </w:r>
    <w:r>
      <w:rPr>
        <w:u w:val="single"/>
      </w:rPr>
      <w:tab/>
    </w:r>
    <w:r w:rsidRPr="00281E7B">
      <w:rPr>
        <w:u w:val="single"/>
      </w:rPr>
      <w:t>Baseline Water Quality Report</w:t>
    </w:r>
    <w:r w:rsidRPr="003265B6">
      <w:rPr>
        <w:u w:val="single"/>
      </w:rPr>
      <w:t xml:space="preserve"> </w:t>
    </w:r>
    <w:r w:rsidRPr="00B33D4B">
      <w:rPr>
        <w:u w:val="single"/>
      </w:rPr>
      <w:t>April 2020</w:t>
    </w:r>
  </w:p>
  <w:p w14:paraId="313D149E" w14:textId="6E004226" w:rsidR="00FB33C7" w:rsidRPr="00281E7B" w:rsidRDefault="00FB33C7" w:rsidP="00E178FF">
    <w:pPr>
      <w:pStyle w:val="Header"/>
      <w:tabs>
        <w:tab w:val="clear" w:pos="4320"/>
      </w:tabs>
      <w:jc w:val="right"/>
      <w:rPr>
        <w:u w:val="single"/>
      </w:rPr>
    </w:pPr>
  </w:p>
  <w:p w14:paraId="2D800DC8" w14:textId="77777777" w:rsidR="00FB33C7" w:rsidRPr="00281E7B" w:rsidRDefault="00FB33C7">
    <w:pPr>
      <w:pStyle w:val="Header"/>
      <w:rPr>
        <w:u w:val="singl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712FCF" w14:textId="0302AF1B" w:rsidR="00FB33C7" w:rsidRDefault="00FB33C7" w:rsidP="00D97165">
    <w:pPr>
      <w:pStyle w:val="Header"/>
      <w:tabs>
        <w:tab w:val="clear" w:pos="4320"/>
        <w:tab w:val="left" w:pos="708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52B"/>
    <w:rsid w:val="00004C18"/>
    <w:rsid w:val="00005BBC"/>
    <w:rsid w:val="00013C0A"/>
    <w:rsid w:val="00013D99"/>
    <w:rsid w:val="00017C81"/>
    <w:rsid w:val="00022139"/>
    <w:rsid w:val="0003181B"/>
    <w:rsid w:val="00031C12"/>
    <w:rsid w:val="000324E6"/>
    <w:rsid w:val="0004261E"/>
    <w:rsid w:val="00053948"/>
    <w:rsid w:val="00071380"/>
    <w:rsid w:val="00071E2C"/>
    <w:rsid w:val="00074A92"/>
    <w:rsid w:val="00081787"/>
    <w:rsid w:val="00085042"/>
    <w:rsid w:val="000856A8"/>
    <w:rsid w:val="00092F24"/>
    <w:rsid w:val="000D6AE7"/>
    <w:rsid w:val="000E1DF0"/>
    <w:rsid w:val="000F1A99"/>
    <w:rsid w:val="00100480"/>
    <w:rsid w:val="001061F8"/>
    <w:rsid w:val="0011000D"/>
    <w:rsid w:val="00112D4F"/>
    <w:rsid w:val="001203DD"/>
    <w:rsid w:val="00130AF5"/>
    <w:rsid w:val="00130C34"/>
    <w:rsid w:val="001A517C"/>
    <w:rsid w:val="001B035E"/>
    <w:rsid w:val="001B1B7A"/>
    <w:rsid w:val="001C43E3"/>
    <w:rsid w:val="001C5010"/>
    <w:rsid w:val="001C677E"/>
    <w:rsid w:val="001C73D4"/>
    <w:rsid w:val="001D26CB"/>
    <w:rsid w:val="00207C49"/>
    <w:rsid w:val="00214640"/>
    <w:rsid w:val="00216EA9"/>
    <w:rsid w:val="0022059A"/>
    <w:rsid w:val="00252512"/>
    <w:rsid w:val="00270D6C"/>
    <w:rsid w:val="00273C96"/>
    <w:rsid w:val="00274DB7"/>
    <w:rsid w:val="00275739"/>
    <w:rsid w:val="00275760"/>
    <w:rsid w:val="00281E7B"/>
    <w:rsid w:val="00282AD6"/>
    <w:rsid w:val="002833AA"/>
    <w:rsid w:val="0029682E"/>
    <w:rsid w:val="002B3939"/>
    <w:rsid w:val="002C3287"/>
    <w:rsid w:val="002C3B4E"/>
    <w:rsid w:val="002C7B24"/>
    <w:rsid w:val="002D46C5"/>
    <w:rsid w:val="002D5764"/>
    <w:rsid w:val="002E7E62"/>
    <w:rsid w:val="002F17A4"/>
    <w:rsid w:val="002F4065"/>
    <w:rsid w:val="002F60C7"/>
    <w:rsid w:val="0031128A"/>
    <w:rsid w:val="003265B6"/>
    <w:rsid w:val="00326A72"/>
    <w:rsid w:val="00350CC1"/>
    <w:rsid w:val="0036093B"/>
    <w:rsid w:val="00380CCB"/>
    <w:rsid w:val="003844EB"/>
    <w:rsid w:val="00385653"/>
    <w:rsid w:val="003916F8"/>
    <w:rsid w:val="00393421"/>
    <w:rsid w:val="003B7320"/>
    <w:rsid w:val="003C4736"/>
    <w:rsid w:val="003C56D3"/>
    <w:rsid w:val="00401713"/>
    <w:rsid w:val="00414D4A"/>
    <w:rsid w:val="00424637"/>
    <w:rsid w:val="00431CE7"/>
    <w:rsid w:val="00435746"/>
    <w:rsid w:val="00465A0E"/>
    <w:rsid w:val="004728A8"/>
    <w:rsid w:val="0047552B"/>
    <w:rsid w:val="00480F3F"/>
    <w:rsid w:val="00483A3A"/>
    <w:rsid w:val="00485D48"/>
    <w:rsid w:val="00492ABD"/>
    <w:rsid w:val="00495FF8"/>
    <w:rsid w:val="004A0F95"/>
    <w:rsid w:val="004A25FB"/>
    <w:rsid w:val="004A4000"/>
    <w:rsid w:val="004A7B76"/>
    <w:rsid w:val="004B1F26"/>
    <w:rsid w:val="004C0002"/>
    <w:rsid w:val="004C30AE"/>
    <w:rsid w:val="004E3558"/>
    <w:rsid w:val="004E46BD"/>
    <w:rsid w:val="00501352"/>
    <w:rsid w:val="00510BA7"/>
    <w:rsid w:val="00510EC6"/>
    <w:rsid w:val="00546170"/>
    <w:rsid w:val="005516E8"/>
    <w:rsid w:val="005522E1"/>
    <w:rsid w:val="005542E4"/>
    <w:rsid w:val="00561026"/>
    <w:rsid w:val="005704AB"/>
    <w:rsid w:val="005A13B6"/>
    <w:rsid w:val="005B51F2"/>
    <w:rsid w:val="005C177B"/>
    <w:rsid w:val="005C6678"/>
    <w:rsid w:val="005C7957"/>
    <w:rsid w:val="005D6575"/>
    <w:rsid w:val="005E4720"/>
    <w:rsid w:val="005E6244"/>
    <w:rsid w:val="005F19DE"/>
    <w:rsid w:val="0060235D"/>
    <w:rsid w:val="00611882"/>
    <w:rsid w:val="006146AF"/>
    <w:rsid w:val="00621A6D"/>
    <w:rsid w:val="00634F53"/>
    <w:rsid w:val="006610A6"/>
    <w:rsid w:val="00663BB7"/>
    <w:rsid w:val="00671375"/>
    <w:rsid w:val="00676DCD"/>
    <w:rsid w:val="0068448C"/>
    <w:rsid w:val="00687385"/>
    <w:rsid w:val="006B3F91"/>
    <w:rsid w:val="006C31BD"/>
    <w:rsid w:val="006C45CA"/>
    <w:rsid w:val="006C4DEB"/>
    <w:rsid w:val="006E2740"/>
    <w:rsid w:val="006F3279"/>
    <w:rsid w:val="00730E8F"/>
    <w:rsid w:val="00740044"/>
    <w:rsid w:val="00743778"/>
    <w:rsid w:val="00761749"/>
    <w:rsid w:val="007651B9"/>
    <w:rsid w:val="00766E7B"/>
    <w:rsid w:val="00770C4B"/>
    <w:rsid w:val="00776387"/>
    <w:rsid w:val="00782FB8"/>
    <w:rsid w:val="00783937"/>
    <w:rsid w:val="00784942"/>
    <w:rsid w:val="00787107"/>
    <w:rsid w:val="007B313B"/>
    <w:rsid w:val="007C10D5"/>
    <w:rsid w:val="007C31DF"/>
    <w:rsid w:val="007F054D"/>
    <w:rsid w:val="0082785F"/>
    <w:rsid w:val="008448FA"/>
    <w:rsid w:val="00847441"/>
    <w:rsid w:val="008706D0"/>
    <w:rsid w:val="0087568C"/>
    <w:rsid w:val="00887ED8"/>
    <w:rsid w:val="008908BB"/>
    <w:rsid w:val="008B7007"/>
    <w:rsid w:val="008C3EDD"/>
    <w:rsid w:val="008C6494"/>
    <w:rsid w:val="008C78FA"/>
    <w:rsid w:val="008E0577"/>
    <w:rsid w:val="008E74BA"/>
    <w:rsid w:val="00906DAF"/>
    <w:rsid w:val="0093445F"/>
    <w:rsid w:val="009428F5"/>
    <w:rsid w:val="00957F20"/>
    <w:rsid w:val="009609C2"/>
    <w:rsid w:val="009712EB"/>
    <w:rsid w:val="00971C4C"/>
    <w:rsid w:val="00973258"/>
    <w:rsid w:val="00994A82"/>
    <w:rsid w:val="009A43B3"/>
    <w:rsid w:val="009B294D"/>
    <w:rsid w:val="009B4012"/>
    <w:rsid w:val="009B5D98"/>
    <w:rsid w:val="009D4C46"/>
    <w:rsid w:val="009F5633"/>
    <w:rsid w:val="009F5EDF"/>
    <w:rsid w:val="00A13D36"/>
    <w:rsid w:val="00A2538E"/>
    <w:rsid w:val="00A27695"/>
    <w:rsid w:val="00A37F03"/>
    <w:rsid w:val="00A42148"/>
    <w:rsid w:val="00A42770"/>
    <w:rsid w:val="00A44903"/>
    <w:rsid w:val="00A50EC6"/>
    <w:rsid w:val="00A54177"/>
    <w:rsid w:val="00A554F0"/>
    <w:rsid w:val="00A60354"/>
    <w:rsid w:val="00A718AF"/>
    <w:rsid w:val="00A74F57"/>
    <w:rsid w:val="00A8613B"/>
    <w:rsid w:val="00A902F7"/>
    <w:rsid w:val="00A9612A"/>
    <w:rsid w:val="00AA5672"/>
    <w:rsid w:val="00AA5F69"/>
    <w:rsid w:val="00AB395F"/>
    <w:rsid w:val="00AC7682"/>
    <w:rsid w:val="00AD2C6F"/>
    <w:rsid w:val="00AD5889"/>
    <w:rsid w:val="00AD6DA3"/>
    <w:rsid w:val="00AD7C37"/>
    <w:rsid w:val="00B03789"/>
    <w:rsid w:val="00B120DC"/>
    <w:rsid w:val="00B217D5"/>
    <w:rsid w:val="00B32517"/>
    <w:rsid w:val="00B767C5"/>
    <w:rsid w:val="00B91A3F"/>
    <w:rsid w:val="00BB52FB"/>
    <w:rsid w:val="00BC793C"/>
    <w:rsid w:val="00C261B6"/>
    <w:rsid w:val="00C40690"/>
    <w:rsid w:val="00C514A6"/>
    <w:rsid w:val="00C5432A"/>
    <w:rsid w:val="00C54B0D"/>
    <w:rsid w:val="00C64663"/>
    <w:rsid w:val="00C7580D"/>
    <w:rsid w:val="00C8179F"/>
    <w:rsid w:val="00CA63A9"/>
    <w:rsid w:val="00CB7CCD"/>
    <w:rsid w:val="00CD1A29"/>
    <w:rsid w:val="00CD5E95"/>
    <w:rsid w:val="00CE13AC"/>
    <w:rsid w:val="00CE4EB6"/>
    <w:rsid w:val="00CF2E4A"/>
    <w:rsid w:val="00D0087C"/>
    <w:rsid w:val="00D15DEF"/>
    <w:rsid w:val="00D22B2A"/>
    <w:rsid w:val="00D23349"/>
    <w:rsid w:val="00D27228"/>
    <w:rsid w:val="00D349A1"/>
    <w:rsid w:val="00D5356E"/>
    <w:rsid w:val="00D90444"/>
    <w:rsid w:val="00D97165"/>
    <w:rsid w:val="00DA57C8"/>
    <w:rsid w:val="00DB1B32"/>
    <w:rsid w:val="00DC6B3F"/>
    <w:rsid w:val="00DF57F9"/>
    <w:rsid w:val="00E15B07"/>
    <w:rsid w:val="00E17872"/>
    <w:rsid w:val="00E178FF"/>
    <w:rsid w:val="00E2388E"/>
    <w:rsid w:val="00E40FFF"/>
    <w:rsid w:val="00E42971"/>
    <w:rsid w:val="00E920CB"/>
    <w:rsid w:val="00EA24E5"/>
    <w:rsid w:val="00EB3418"/>
    <w:rsid w:val="00EE6430"/>
    <w:rsid w:val="00EF3BB9"/>
    <w:rsid w:val="00EF457C"/>
    <w:rsid w:val="00EF5E61"/>
    <w:rsid w:val="00EF6717"/>
    <w:rsid w:val="00EF79AE"/>
    <w:rsid w:val="00F0227F"/>
    <w:rsid w:val="00F14020"/>
    <w:rsid w:val="00F144F3"/>
    <w:rsid w:val="00F27E40"/>
    <w:rsid w:val="00F37F94"/>
    <w:rsid w:val="00F5719D"/>
    <w:rsid w:val="00F61DF9"/>
    <w:rsid w:val="00F779A3"/>
    <w:rsid w:val="00F85D89"/>
    <w:rsid w:val="00F864D6"/>
    <w:rsid w:val="00FB33C7"/>
    <w:rsid w:val="00FC13F4"/>
    <w:rsid w:val="00FD739E"/>
    <w:rsid w:val="00FE59E1"/>
    <w:rsid w:val="00FF3F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A1654E3"/>
  <w14:defaultImageDpi w14:val="300"/>
  <w15:docId w15:val="{A15917A3-CB56-4E64-BCF4-B382CDA7F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120DC"/>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74377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7552B"/>
    <w:rPr>
      <w:rFonts w:ascii="Lucida Grande" w:hAnsi="Lucida Grande"/>
      <w:sz w:val="18"/>
      <w:szCs w:val="18"/>
    </w:rPr>
  </w:style>
  <w:style w:type="character" w:customStyle="1" w:styleId="BalloonTextChar">
    <w:name w:val="Balloon Text Char"/>
    <w:basedOn w:val="DefaultParagraphFont"/>
    <w:link w:val="BalloonText"/>
    <w:uiPriority w:val="99"/>
    <w:semiHidden/>
    <w:rsid w:val="0047552B"/>
    <w:rPr>
      <w:rFonts w:ascii="Lucida Grande" w:hAnsi="Lucida Grande"/>
      <w:sz w:val="18"/>
      <w:szCs w:val="18"/>
    </w:rPr>
  </w:style>
  <w:style w:type="paragraph" w:styleId="Header">
    <w:name w:val="header"/>
    <w:basedOn w:val="Normal"/>
    <w:link w:val="HeaderChar"/>
    <w:uiPriority w:val="99"/>
    <w:unhideWhenUsed/>
    <w:rsid w:val="0047552B"/>
    <w:pPr>
      <w:tabs>
        <w:tab w:val="center" w:pos="4320"/>
        <w:tab w:val="right" w:pos="8640"/>
      </w:tabs>
    </w:pPr>
  </w:style>
  <w:style w:type="character" w:customStyle="1" w:styleId="HeaderChar">
    <w:name w:val="Header Char"/>
    <w:basedOn w:val="DefaultParagraphFont"/>
    <w:link w:val="Header"/>
    <w:uiPriority w:val="99"/>
    <w:rsid w:val="0047552B"/>
  </w:style>
  <w:style w:type="paragraph" w:styleId="Footer">
    <w:name w:val="footer"/>
    <w:basedOn w:val="Normal"/>
    <w:link w:val="FooterChar"/>
    <w:uiPriority w:val="99"/>
    <w:unhideWhenUsed/>
    <w:rsid w:val="0047552B"/>
    <w:pPr>
      <w:tabs>
        <w:tab w:val="center" w:pos="4320"/>
        <w:tab w:val="right" w:pos="8640"/>
      </w:tabs>
    </w:pPr>
  </w:style>
  <w:style w:type="character" w:customStyle="1" w:styleId="FooterChar">
    <w:name w:val="Footer Char"/>
    <w:basedOn w:val="DefaultParagraphFont"/>
    <w:link w:val="Footer"/>
    <w:uiPriority w:val="99"/>
    <w:rsid w:val="0047552B"/>
  </w:style>
  <w:style w:type="character" w:styleId="PageNumber">
    <w:name w:val="page number"/>
    <w:basedOn w:val="DefaultParagraphFont"/>
    <w:uiPriority w:val="99"/>
    <w:semiHidden/>
    <w:unhideWhenUsed/>
    <w:rsid w:val="0047552B"/>
  </w:style>
  <w:style w:type="paragraph" w:styleId="Caption">
    <w:name w:val="caption"/>
    <w:basedOn w:val="Normal"/>
    <w:next w:val="Normal"/>
    <w:uiPriority w:val="35"/>
    <w:unhideWhenUsed/>
    <w:qFormat/>
    <w:rsid w:val="00B767C5"/>
    <w:pPr>
      <w:spacing w:after="200"/>
    </w:pPr>
    <w:rPr>
      <w:b/>
      <w:bCs/>
      <w:color w:val="4F81BD" w:themeColor="accent1"/>
      <w:sz w:val="18"/>
      <w:szCs w:val="18"/>
    </w:rPr>
  </w:style>
  <w:style w:type="character" w:customStyle="1" w:styleId="lookup-resultcontent">
    <w:name w:val="lookup-result__content"/>
    <w:basedOn w:val="DefaultParagraphFont"/>
    <w:rsid w:val="00F779A3"/>
  </w:style>
  <w:style w:type="character" w:customStyle="1" w:styleId="apple-converted-space">
    <w:name w:val="apple-converted-space"/>
    <w:basedOn w:val="DefaultParagraphFont"/>
    <w:rsid w:val="00F779A3"/>
  </w:style>
  <w:style w:type="paragraph" w:styleId="TOC1">
    <w:name w:val="toc 1"/>
    <w:basedOn w:val="Normal"/>
    <w:next w:val="Normal"/>
    <w:autoRedefine/>
    <w:uiPriority w:val="39"/>
    <w:unhideWhenUsed/>
    <w:rsid w:val="00D97165"/>
  </w:style>
  <w:style w:type="paragraph" w:styleId="TOC2">
    <w:name w:val="toc 2"/>
    <w:basedOn w:val="Normal"/>
    <w:next w:val="Normal"/>
    <w:autoRedefine/>
    <w:uiPriority w:val="39"/>
    <w:unhideWhenUsed/>
    <w:rsid w:val="00D97165"/>
    <w:pPr>
      <w:ind w:left="240"/>
    </w:pPr>
  </w:style>
  <w:style w:type="paragraph" w:styleId="TOC3">
    <w:name w:val="toc 3"/>
    <w:basedOn w:val="Normal"/>
    <w:next w:val="Normal"/>
    <w:autoRedefine/>
    <w:uiPriority w:val="39"/>
    <w:unhideWhenUsed/>
    <w:rsid w:val="00D97165"/>
    <w:pPr>
      <w:ind w:left="480"/>
    </w:pPr>
  </w:style>
  <w:style w:type="paragraph" w:styleId="TOC4">
    <w:name w:val="toc 4"/>
    <w:basedOn w:val="Normal"/>
    <w:next w:val="Normal"/>
    <w:autoRedefine/>
    <w:uiPriority w:val="39"/>
    <w:unhideWhenUsed/>
    <w:rsid w:val="00D97165"/>
    <w:pPr>
      <w:ind w:left="720"/>
    </w:pPr>
  </w:style>
  <w:style w:type="paragraph" w:styleId="TOC5">
    <w:name w:val="toc 5"/>
    <w:basedOn w:val="Normal"/>
    <w:next w:val="Normal"/>
    <w:autoRedefine/>
    <w:uiPriority w:val="39"/>
    <w:unhideWhenUsed/>
    <w:rsid w:val="00D97165"/>
    <w:pPr>
      <w:ind w:left="960"/>
    </w:pPr>
  </w:style>
  <w:style w:type="paragraph" w:styleId="TOC6">
    <w:name w:val="toc 6"/>
    <w:basedOn w:val="Normal"/>
    <w:next w:val="Normal"/>
    <w:autoRedefine/>
    <w:uiPriority w:val="39"/>
    <w:unhideWhenUsed/>
    <w:rsid w:val="00D97165"/>
    <w:pPr>
      <w:ind w:left="1200"/>
    </w:pPr>
  </w:style>
  <w:style w:type="paragraph" w:styleId="TOC7">
    <w:name w:val="toc 7"/>
    <w:basedOn w:val="Normal"/>
    <w:next w:val="Normal"/>
    <w:autoRedefine/>
    <w:uiPriority w:val="39"/>
    <w:unhideWhenUsed/>
    <w:rsid w:val="00D97165"/>
    <w:pPr>
      <w:ind w:left="1440"/>
    </w:pPr>
  </w:style>
  <w:style w:type="paragraph" w:styleId="TOC8">
    <w:name w:val="toc 8"/>
    <w:basedOn w:val="Normal"/>
    <w:next w:val="Normal"/>
    <w:autoRedefine/>
    <w:uiPriority w:val="39"/>
    <w:unhideWhenUsed/>
    <w:rsid w:val="00D97165"/>
    <w:pPr>
      <w:ind w:left="1680"/>
    </w:pPr>
  </w:style>
  <w:style w:type="paragraph" w:styleId="TOC9">
    <w:name w:val="toc 9"/>
    <w:basedOn w:val="Normal"/>
    <w:next w:val="Normal"/>
    <w:autoRedefine/>
    <w:uiPriority w:val="39"/>
    <w:unhideWhenUsed/>
    <w:rsid w:val="00D97165"/>
    <w:pPr>
      <w:ind w:left="1920"/>
    </w:pPr>
  </w:style>
  <w:style w:type="character" w:customStyle="1" w:styleId="Heading1Char">
    <w:name w:val="Heading 1 Char"/>
    <w:basedOn w:val="DefaultParagraphFont"/>
    <w:link w:val="Heading1"/>
    <w:uiPriority w:val="9"/>
    <w:rsid w:val="00B120DC"/>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743778"/>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11000D"/>
    <w:rPr>
      <w:color w:val="0000FF" w:themeColor="hyperlink"/>
      <w:u w:val="single"/>
    </w:rPr>
  </w:style>
  <w:style w:type="character" w:styleId="UnresolvedMention">
    <w:name w:val="Unresolved Mention"/>
    <w:basedOn w:val="DefaultParagraphFont"/>
    <w:uiPriority w:val="99"/>
    <w:semiHidden/>
    <w:unhideWhenUsed/>
    <w:rsid w:val="0011000D"/>
    <w:rPr>
      <w:color w:val="605E5C"/>
      <w:shd w:val="clear" w:color="auto" w:fill="E1DFDD"/>
    </w:rPr>
  </w:style>
  <w:style w:type="character" w:styleId="FollowedHyperlink">
    <w:name w:val="FollowedHyperlink"/>
    <w:basedOn w:val="DefaultParagraphFont"/>
    <w:uiPriority w:val="99"/>
    <w:semiHidden/>
    <w:unhideWhenUsed/>
    <w:rsid w:val="003B732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3997753">
      <w:bodyDiv w:val="1"/>
      <w:marLeft w:val="0"/>
      <w:marRight w:val="0"/>
      <w:marTop w:val="0"/>
      <w:marBottom w:val="0"/>
      <w:divBdr>
        <w:top w:val="none" w:sz="0" w:space="0" w:color="auto"/>
        <w:left w:val="none" w:sz="0" w:space="0" w:color="auto"/>
        <w:bottom w:val="none" w:sz="0" w:space="0" w:color="auto"/>
        <w:right w:val="none" w:sz="0" w:space="0" w:color="auto"/>
      </w:divBdr>
    </w:div>
    <w:div w:id="396367307">
      <w:bodyDiv w:val="1"/>
      <w:marLeft w:val="0"/>
      <w:marRight w:val="0"/>
      <w:marTop w:val="0"/>
      <w:marBottom w:val="0"/>
      <w:divBdr>
        <w:top w:val="none" w:sz="0" w:space="0" w:color="auto"/>
        <w:left w:val="none" w:sz="0" w:space="0" w:color="auto"/>
        <w:bottom w:val="none" w:sz="0" w:space="0" w:color="auto"/>
        <w:right w:val="none" w:sz="0" w:space="0" w:color="auto"/>
      </w:divBdr>
      <w:divsChild>
        <w:div w:id="1422724011">
          <w:marLeft w:val="-225"/>
          <w:marRight w:val="-225"/>
          <w:marTop w:val="0"/>
          <w:marBottom w:val="0"/>
          <w:divBdr>
            <w:top w:val="none" w:sz="0" w:space="0" w:color="auto"/>
            <w:left w:val="none" w:sz="0" w:space="0" w:color="auto"/>
            <w:bottom w:val="none" w:sz="0" w:space="0" w:color="auto"/>
            <w:right w:val="none" w:sz="0" w:space="0" w:color="auto"/>
          </w:divBdr>
        </w:div>
        <w:div w:id="2046171647">
          <w:marLeft w:val="-225"/>
          <w:marRight w:val="-225"/>
          <w:marTop w:val="0"/>
          <w:marBottom w:val="0"/>
          <w:divBdr>
            <w:top w:val="none" w:sz="0" w:space="0" w:color="auto"/>
            <w:left w:val="none" w:sz="0" w:space="0" w:color="auto"/>
            <w:bottom w:val="none" w:sz="0" w:space="0" w:color="auto"/>
            <w:right w:val="none" w:sz="0" w:space="0" w:color="auto"/>
          </w:divBdr>
          <w:divsChild>
            <w:div w:id="197679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715159">
      <w:bodyDiv w:val="1"/>
      <w:marLeft w:val="0"/>
      <w:marRight w:val="0"/>
      <w:marTop w:val="0"/>
      <w:marBottom w:val="0"/>
      <w:divBdr>
        <w:top w:val="none" w:sz="0" w:space="0" w:color="auto"/>
        <w:left w:val="none" w:sz="0" w:space="0" w:color="auto"/>
        <w:bottom w:val="none" w:sz="0" w:space="0" w:color="auto"/>
        <w:right w:val="none" w:sz="0" w:space="0" w:color="auto"/>
      </w:divBdr>
    </w:div>
    <w:div w:id="1732460756">
      <w:bodyDiv w:val="1"/>
      <w:marLeft w:val="0"/>
      <w:marRight w:val="0"/>
      <w:marTop w:val="0"/>
      <w:marBottom w:val="0"/>
      <w:divBdr>
        <w:top w:val="none" w:sz="0" w:space="0" w:color="auto"/>
        <w:left w:val="none" w:sz="0" w:space="0" w:color="auto"/>
        <w:bottom w:val="none" w:sz="0" w:space="0" w:color="auto"/>
        <w:right w:val="none" w:sz="0" w:space="0" w:color="auto"/>
      </w:divBdr>
    </w:div>
    <w:div w:id="189642731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hart" Target="charts/chart2.xml"/><Relationship Id="rId18" Type="http://schemas.openxmlformats.org/officeDocument/2006/relationships/image" Target="media/image8.png"/><Relationship Id="rId26" Type="http://schemas.openxmlformats.org/officeDocument/2006/relationships/image" Target="media/image14.png"/><Relationship Id="rId39"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image" Target="media/image11.png"/><Relationship Id="rId34" Type="http://schemas.openxmlformats.org/officeDocument/2006/relationships/image" Target="media/image20.emf"/><Relationship Id="rId42"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chart" Target="charts/chart1.xml"/><Relationship Id="rId17" Type="http://schemas.openxmlformats.org/officeDocument/2006/relationships/image" Target="media/image7.png"/><Relationship Id="rId25" Type="http://schemas.openxmlformats.org/officeDocument/2006/relationships/image" Target="media/image13.png"/><Relationship Id="rId33" Type="http://schemas.openxmlformats.org/officeDocument/2006/relationships/hyperlink" Target="http://deq.mt.gov/Portals/Impaired%20Waters2016" TargetMode="External"/><Relationship Id="rId38"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7.png"/><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chart" Target="charts/chart6.xml"/><Relationship Id="rId32" Type="http://schemas.openxmlformats.org/officeDocument/2006/relationships/chart" Target="charts/chart7.xml"/><Relationship Id="rId37" Type="http://schemas.openxmlformats.org/officeDocument/2006/relationships/footer" Target="footer1.xm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hart" Target="charts/chart4.xml"/><Relationship Id="rId23" Type="http://schemas.openxmlformats.org/officeDocument/2006/relationships/chart" Target="charts/chart5.xml"/><Relationship Id="rId28" Type="http://schemas.openxmlformats.org/officeDocument/2006/relationships/image" Target="media/image16.png"/><Relationship Id="rId36" Type="http://schemas.openxmlformats.org/officeDocument/2006/relationships/header" Target="header2.xml"/><Relationship Id="rId10" Type="http://schemas.openxmlformats.org/officeDocument/2006/relationships/image" Target="media/image4.png"/><Relationship Id="rId19" Type="http://schemas.openxmlformats.org/officeDocument/2006/relationships/image" Target="media/image9.png"/><Relationship Id="rId31" Type="http://schemas.openxmlformats.org/officeDocument/2006/relationships/image" Target="media/image19.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chart" Target="charts/chart3.xml"/><Relationship Id="rId22" Type="http://schemas.openxmlformats.org/officeDocument/2006/relationships/image" Target="media/image12.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oleObject" Target="file:///E:\UMOWA\Water%20Quality\Master%20UMOWA%20WQ%20Data%20All%20Year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E:\UMOWA\Water%20Quality\Master%20UMOWA%20WQ%20Data%20All%20Year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E:\UMOWA\Water%20Quality\Master%20UMOWA%20WQ%20Data%20All%20Year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E:\UMOWA\Water%20Quality\Master%20UMOWA%20WQ%20Data%20All%20Year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E:\UMOWA\Water%20Quality\Master%20UMOWA%20WQ%20Data%20All%20Year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E:\UMOWA\Water%20Quality\Master%20UMOWA%20WQ%20Data%20All%20Years.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E:\UMOWA\Water%20Quality\Master%20UMOWA%20WQ%20Data%20All%20Years.xlsx"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en-US" sz="1400" b="1" i="0" baseline="0">
                <a:solidFill>
                  <a:schemeClr val="tx1"/>
                </a:solidFill>
                <a:effectLst/>
              </a:rPr>
              <a:t>TDS at UMOWA Sites 2018/2019</a:t>
            </a:r>
            <a:endParaRPr lang="en-US" sz="1400">
              <a:solidFill>
                <a:schemeClr val="tx1"/>
              </a:solidFill>
              <a:effectLst/>
            </a:endParaRPr>
          </a:p>
        </c:rich>
      </c:tx>
      <c:layout>
        <c:manualLayout>
          <c:xMode val="edge"/>
          <c:yMode val="edge"/>
          <c:x val="0.28046783828864547"/>
          <c:y val="2.683400938519048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n-US"/>
        </a:p>
      </c:txPr>
    </c:title>
    <c:autoTitleDeleted val="0"/>
    <c:plotArea>
      <c:layout>
        <c:manualLayout>
          <c:layoutTarget val="inner"/>
          <c:xMode val="edge"/>
          <c:yMode val="edge"/>
          <c:x val="0.14626618547681539"/>
          <c:y val="0.13461832895888015"/>
          <c:w val="0.80913926599167807"/>
          <c:h val="0.58641550014581512"/>
        </c:manualLayout>
      </c:layout>
      <c:barChart>
        <c:barDir val="col"/>
        <c:grouping val="clustered"/>
        <c:varyColors val="0"/>
        <c:ser>
          <c:idx val="4"/>
          <c:order val="1"/>
          <c:tx>
            <c:strRef>
              <c:f>Master!$Q$5</c:f>
              <c:strCache>
                <c:ptCount val="1"/>
                <c:pt idx="0">
                  <c:v>Jun-18</c:v>
                </c:pt>
              </c:strCache>
            </c:strRef>
          </c:tx>
          <c:spPr>
            <a:solidFill>
              <a:schemeClr val="bg1">
                <a:lumMod val="65000"/>
              </a:schemeClr>
            </a:solidFill>
            <a:ln>
              <a:solidFill>
                <a:schemeClr val="tx1"/>
              </a:solidFill>
            </a:ln>
            <a:effectLst/>
          </c:spPr>
          <c:invertIfNegative val="0"/>
          <c:val>
            <c:numRef>
              <c:f>Master!$Q$6:$Q$12</c:f>
              <c:numCache>
                <c:formatCode>General</c:formatCode>
                <c:ptCount val="7"/>
                <c:pt idx="0">
                  <c:v>203</c:v>
                </c:pt>
                <c:pt idx="1">
                  <c:v>202</c:v>
                </c:pt>
                <c:pt idx="2">
                  <c:v>206</c:v>
                </c:pt>
                <c:pt idx="3">
                  <c:v>204</c:v>
                </c:pt>
                <c:pt idx="4">
                  <c:v>166</c:v>
                </c:pt>
                <c:pt idx="5">
                  <c:v>204</c:v>
                </c:pt>
                <c:pt idx="6">
                  <c:v>206</c:v>
                </c:pt>
              </c:numCache>
            </c:numRef>
          </c:val>
          <c:extLst>
            <c:ext xmlns:c16="http://schemas.microsoft.com/office/drawing/2014/chart" uri="{C3380CC4-5D6E-409C-BE32-E72D297353CC}">
              <c16:uniqueId val="{00000000-A951-48A5-9AFE-483CF8EEF119}"/>
            </c:ext>
          </c:extLst>
        </c:ser>
        <c:ser>
          <c:idx val="3"/>
          <c:order val="2"/>
          <c:tx>
            <c:strRef>
              <c:f>Master!$R$5</c:f>
              <c:strCache>
                <c:ptCount val="1"/>
                <c:pt idx="0">
                  <c:v>Jul-18</c:v>
                </c:pt>
              </c:strCache>
            </c:strRef>
          </c:tx>
          <c:spPr>
            <a:solidFill>
              <a:srgbClr val="C00000"/>
            </a:solidFill>
            <a:ln w="12700">
              <a:solidFill>
                <a:schemeClr val="tx1"/>
              </a:solidFill>
            </a:ln>
            <a:effectLst/>
          </c:spPr>
          <c:invertIfNegative val="0"/>
          <c:cat>
            <c:strRef>
              <c:f>Master!$P$6:$P$12</c:f>
              <c:strCache>
                <c:ptCount val="7"/>
                <c:pt idx="0">
                  <c:v>MO_LPPC US</c:v>
                </c:pt>
                <c:pt idx="1">
                  <c:v>MO_LPPC DS</c:v>
                </c:pt>
                <c:pt idx="2">
                  <c:v>MO_Craig</c:v>
                </c:pt>
                <c:pt idx="3">
                  <c:v>MO_ Dear US</c:v>
                </c:pt>
                <c:pt idx="4">
                  <c:v>MO_Dear DS</c:v>
                </c:pt>
                <c:pt idx="5">
                  <c:v>MO_Hardy</c:v>
                </c:pt>
                <c:pt idx="6">
                  <c:v>MO_Cascade</c:v>
                </c:pt>
              </c:strCache>
            </c:strRef>
          </c:cat>
          <c:val>
            <c:numRef>
              <c:f>Master!$R$6:$R$12</c:f>
              <c:numCache>
                <c:formatCode>General</c:formatCode>
                <c:ptCount val="7"/>
                <c:pt idx="0">
                  <c:v>177</c:v>
                </c:pt>
                <c:pt idx="1">
                  <c:v>198</c:v>
                </c:pt>
                <c:pt idx="2">
                  <c:v>173</c:v>
                </c:pt>
                <c:pt idx="3">
                  <c:v>163</c:v>
                </c:pt>
                <c:pt idx="4">
                  <c:v>192</c:v>
                </c:pt>
                <c:pt idx="5">
                  <c:v>167</c:v>
                </c:pt>
                <c:pt idx="6">
                  <c:v>168</c:v>
                </c:pt>
              </c:numCache>
            </c:numRef>
          </c:val>
          <c:extLst>
            <c:ext xmlns:c16="http://schemas.microsoft.com/office/drawing/2014/chart" uri="{C3380CC4-5D6E-409C-BE32-E72D297353CC}">
              <c16:uniqueId val="{00000001-A951-48A5-9AFE-483CF8EEF119}"/>
            </c:ext>
          </c:extLst>
        </c:ser>
        <c:ser>
          <c:idx val="1"/>
          <c:order val="3"/>
          <c:tx>
            <c:strRef>
              <c:f>Master!$S$5</c:f>
              <c:strCache>
                <c:ptCount val="1"/>
                <c:pt idx="0">
                  <c:v>Oct-18</c:v>
                </c:pt>
              </c:strCache>
            </c:strRef>
          </c:tx>
          <c:spPr>
            <a:solidFill>
              <a:srgbClr val="0070C0"/>
            </a:solidFill>
            <a:ln>
              <a:solidFill>
                <a:schemeClr val="tx1"/>
              </a:solidFill>
            </a:ln>
            <a:effectLst/>
          </c:spPr>
          <c:invertIfNegative val="0"/>
          <c:dPt>
            <c:idx val="7"/>
            <c:invertIfNegative val="0"/>
            <c:bubble3D val="0"/>
            <c:spPr>
              <a:solidFill>
                <a:srgbClr val="0070C0"/>
              </a:solidFill>
              <a:ln w="28575" cap="rnd">
                <a:solidFill>
                  <a:schemeClr val="tx1"/>
                </a:solidFill>
                <a:round/>
              </a:ln>
              <a:effectLst/>
            </c:spPr>
            <c:extLst>
              <c:ext xmlns:c16="http://schemas.microsoft.com/office/drawing/2014/chart" uri="{C3380CC4-5D6E-409C-BE32-E72D297353CC}">
                <c16:uniqueId val="{00000003-A951-48A5-9AFE-483CF8EEF119}"/>
              </c:ext>
            </c:extLst>
          </c:dPt>
          <c:cat>
            <c:strRef>
              <c:f>Master!$P$6:$P$12</c:f>
              <c:strCache>
                <c:ptCount val="7"/>
                <c:pt idx="0">
                  <c:v>MO_LPPC US</c:v>
                </c:pt>
                <c:pt idx="1">
                  <c:v>MO_LPPC DS</c:v>
                </c:pt>
                <c:pt idx="2">
                  <c:v>MO_Craig</c:v>
                </c:pt>
                <c:pt idx="3">
                  <c:v>MO_ Dear US</c:v>
                </c:pt>
                <c:pt idx="4">
                  <c:v>MO_Dear DS</c:v>
                </c:pt>
                <c:pt idx="5">
                  <c:v>MO_Hardy</c:v>
                </c:pt>
                <c:pt idx="6">
                  <c:v>MO_Cascade</c:v>
                </c:pt>
              </c:strCache>
            </c:strRef>
          </c:cat>
          <c:val>
            <c:numRef>
              <c:f>Master!$S$6:$S$12</c:f>
              <c:numCache>
                <c:formatCode>General</c:formatCode>
                <c:ptCount val="7"/>
                <c:pt idx="0">
                  <c:v>179</c:v>
                </c:pt>
                <c:pt idx="1">
                  <c:v>208</c:v>
                </c:pt>
                <c:pt idx="2">
                  <c:v>181</c:v>
                </c:pt>
                <c:pt idx="3">
                  <c:v>177</c:v>
                </c:pt>
                <c:pt idx="4">
                  <c:v>205</c:v>
                </c:pt>
                <c:pt idx="5">
                  <c:v>179</c:v>
                </c:pt>
                <c:pt idx="6">
                  <c:v>180</c:v>
                </c:pt>
              </c:numCache>
            </c:numRef>
          </c:val>
          <c:extLst>
            <c:ext xmlns:c16="http://schemas.microsoft.com/office/drawing/2014/chart" uri="{C3380CC4-5D6E-409C-BE32-E72D297353CC}">
              <c16:uniqueId val="{00000004-A951-48A5-9AFE-483CF8EEF119}"/>
            </c:ext>
          </c:extLst>
        </c:ser>
        <c:ser>
          <c:idx val="2"/>
          <c:order val="4"/>
          <c:tx>
            <c:strRef>
              <c:f>Master!$T$5</c:f>
              <c:strCache>
                <c:ptCount val="1"/>
                <c:pt idx="0">
                  <c:v>Oct-19</c:v>
                </c:pt>
              </c:strCache>
            </c:strRef>
          </c:tx>
          <c:spPr>
            <a:pattFill prst="pct80">
              <a:fgClr>
                <a:srgbClr val="0070C0"/>
              </a:fgClr>
              <a:bgClr>
                <a:schemeClr val="bg1"/>
              </a:bgClr>
            </a:pattFill>
            <a:ln>
              <a:solidFill>
                <a:schemeClr val="tx1"/>
              </a:solidFill>
            </a:ln>
            <a:effectLst/>
          </c:spPr>
          <c:invertIfNegative val="0"/>
          <c:cat>
            <c:strRef>
              <c:f>Master!$P$6:$P$12</c:f>
              <c:strCache>
                <c:ptCount val="7"/>
                <c:pt idx="0">
                  <c:v>MO_LPPC US</c:v>
                </c:pt>
                <c:pt idx="1">
                  <c:v>MO_LPPC DS</c:v>
                </c:pt>
                <c:pt idx="2">
                  <c:v>MO_Craig</c:v>
                </c:pt>
                <c:pt idx="3">
                  <c:v>MO_ Dear US</c:v>
                </c:pt>
                <c:pt idx="4">
                  <c:v>MO_Dear DS</c:v>
                </c:pt>
                <c:pt idx="5">
                  <c:v>MO_Hardy</c:v>
                </c:pt>
                <c:pt idx="6">
                  <c:v>MO_Cascade</c:v>
                </c:pt>
              </c:strCache>
            </c:strRef>
          </c:cat>
          <c:val>
            <c:numRef>
              <c:f>Master!$T$6:$T$12</c:f>
              <c:numCache>
                <c:formatCode>General</c:formatCode>
                <c:ptCount val="7"/>
                <c:pt idx="0">
                  <c:v>206</c:v>
                </c:pt>
                <c:pt idx="1">
                  <c:v>220</c:v>
                </c:pt>
                <c:pt idx="2">
                  <c:v>209</c:v>
                </c:pt>
                <c:pt idx="3">
                  <c:v>207</c:v>
                </c:pt>
                <c:pt idx="4">
                  <c:v>217</c:v>
                </c:pt>
                <c:pt idx="5">
                  <c:v>203</c:v>
                </c:pt>
                <c:pt idx="6">
                  <c:v>203</c:v>
                </c:pt>
              </c:numCache>
            </c:numRef>
          </c:val>
          <c:extLst>
            <c:ext xmlns:c16="http://schemas.microsoft.com/office/drawing/2014/chart" uri="{C3380CC4-5D6E-409C-BE32-E72D297353CC}">
              <c16:uniqueId val="{00000005-A951-48A5-9AFE-483CF8EEF119}"/>
            </c:ext>
          </c:extLst>
        </c:ser>
        <c:dLbls>
          <c:showLegendKey val="0"/>
          <c:showVal val="0"/>
          <c:showCatName val="0"/>
          <c:showSerName val="0"/>
          <c:showPercent val="0"/>
          <c:showBubbleSize val="0"/>
        </c:dLbls>
        <c:gapWidth val="219"/>
        <c:axId val="625668328"/>
        <c:axId val="625669640"/>
        <c:extLst>
          <c:ext xmlns:c15="http://schemas.microsoft.com/office/drawing/2012/chart" uri="{02D57815-91ED-43cb-92C2-25804820EDAC}">
            <c15:filteredBarSeries>
              <c15:ser>
                <c:idx val="0"/>
                <c:order val="0"/>
                <c:tx>
                  <c:strRef>
                    <c:extLst>
                      <c:ext uri="{02D57815-91ED-43cb-92C2-25804820EDAC}">
                        <c15:formulaRef>
                          <c15:sqref>Master!$Q$5</c15:sqref>
                        </c15:formulaRef>
                      </c:ext>
                    </c:extLst>
                    <c:strCache>
                      <c:ptCount val="1"/>
                      <c:pt idx="0">
                        <c:v>Jun-18</c:v>
                      </c:pt>
                    </c:strCache>
                  </c:strRef>
                </c:tx>
                <c:spPr>
                  <a:solidFill>
                    <a:schemeClr val="bg1">
                      <a:lumMod val="50000"/>
                    </a:schemeClr>
                  </a:solidFill>
                  <a:ln>
                    <a:solidFill>
                      <a:schemeClr val="tx1"/>
                    </a:solidFill>
                  </a:ln>
                  <a:effectLst/>
                </c:spPr>
                <c:invertIfNegative val="0"/>
                <c:dPt>
                  <c:idx val="5"/>
                  <c:invertIfNegative val="0"/>
                  <c:bubble3D val="0"/>
                  <c:spPr>
                    <a:solidFill>
                      <a:schemeClr val="bg1">
                        <a:lumMod val="50000"/>
                      </a:schemeClr>
                    </a:solidFill>
                    <a:ln w="19050">
                      <a:solidFill>
                        <a:schemeClr val="tx1"/>
                      </a:solidFill>
                    </a:ln>
                    <a:effectLst/>
                  </c:spPr>
                  <c:extLst>
                    <c:ext xmlns:c16="http://schemas.microsoft.com/office/drawing/2014/chart" uri="{C3380CC4-5D6E-409C-BE32-E72D297353CC}">
                      <c16:uniqueId val="{00000007-A951-48A5-9AFE-483CF8EEF119}"/>
                    </c:ext>
                  </c:extLst>
                </c:dPt>
                <c:cat>
                  <c:strRef>
                    <c:extLst>
                      <c:ext uri="{02D57815-91ED-43cb-92C2-25804820EDAC}">
                        <c15:formulaRef>
                          <c15:sqref>Master!$P$6:$P$12</c15:sqref>
                        </c15:formulaRef>
                      </c:ext>
                    </c:extLst>
                    <c:strCache>
                      <c:ptCount val="7"/>
                      <c:pt idx="0">
                        <c:v>MO_LPPC US</c:v>
                      </c:pt>
                      <c:pt idx="1">
                        <c:v>MO_LPPC DS</c:v>
                      </c:pt>
                      <c:pt idx="2">
                        <c:v>MO_Craig</c:v>
                      </c:pt>
                      <c:pt idx="3">
                        <c:v>MO_ Dear US</c:v>
                      </c:pt>
                      <c:pt idx="4">
                        <c:v>MO_Dear DS</c:v>
                      </c:pt>
                      <c:pt idx="5">
                        <c:v>MO_Hardy</c:v>
                      </c:pt>
                      <c:pt idx="6">
                        <c:v>MO_Cascade</c:v>
                      </c:pt>
                    </c:strCache>
                  </c:strRef>
                </c:cat>
                <c:val>
                  <c:numRef>
                    <c:extLst>
                      <c:ext uri="{02D57815-91ED-43cb-92C2-25804820EDAC}">
                        <c15:formulaRef>
                          <c15:sqref>Master!$Q$6:$Q$12</c15:sqref>
                        </c15:formulaRef>
                      </c:ext>
                    </c:extLst>
                    <c:numCache>
                      <c:formatCode>General</c:formatCode>
                      <c:ptCount val="7"/>
                      <c:pt idx="0">
                        <c:v>203</c:v>
                      </c:pt>
                      <c:pt idx="1">
                        <c:v>202</c:v>
                      </c:pt>
                      <c:pt idx="2">
                        <c:v>206</c:v>
                      </c:pt>
                      <c:pt idx="3">
                        <c:v>204</c:v>
                      </c:pt>
                      <c:pt idx="4">
                        <c:v>166</c:v>
                      </c:pt>
                      <c:pt idx="5">
                        <c:v>204</c:v>
                      </c:pt>
                      <c:pt idx="6">
                        <c:v>206</c:v>
                      </c:pt>
                    </c:numCache>
                  </c:numRef>
                </c:val>
                <c:extLst>
                  <c:ext xmlns:c16="http://schemas.microsoft.com/office/drawing/2014/chart" uri="{C3380CC4-5D6E-409C-BE32-E72D297353CC}">
                    <c16:uniqueId val="{00000008-A951-48A5-9AFE-483CF8EEF119}"/>
                  </c:ext>
                </c:extLst>
              </c15:ser>
            </c15:filteredBarSeries>
          </c:ext>
        </c:extLst>
      </c:barChart>
      <c:catAx>
        <c:axId val="625668328"/>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3240000" spcFirstLastPara="1" vertOverflow="ellipsis" wrap="square" anchor="ctr" anchorCtr="1"/>
          <a:lstStyle/>
          <a:p>
            <a:pPr>
              <a:defRPr sz="1000" b="1" i="0" u="none" strike="noStrike" kern="1200" baseline="0">
                <a:solidFill>
                  <a:schemeClr val="tx1"/>
                </a:solidFill>
                <a:latin typeface="+mn-lt"/>
                <a:ea typeface="+mn-ea"/>
                <a:cs typeface="+mn-cs"/>
              </a:defRPr>
            </a:pPr>
            <a:endParaRPr lang="en-US"/>
          </a:p>
        </c:txPr>
        <c:crossAx val="625669640"/>
        <c:crosses val="autoZero"/>
        <c:auto val="1"/>
        <c:lblAlgn val="ctr"/>
        <c:lblOffset val="100"/>
        <c:noMultiLvlLbl val="0"/>
      </c:catAx>
      <c:valAx>
        <c:axId val="625669640"/>
        <c:scaling>
          <c:orientation val="minMax"/>
          <c:max val="250"/>
          <c:min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sz="1050" b="1">
                    <a:solidFill>
                      <a:schemeClr val="tx1"/>
                    </a:solidFill>
                  </a:rPr>
                  <a:t>Total Dissolved</a:t>
                </a:r>
                <a:r>
                  <a:rPr lang="en-US" sz="1050" b="1" baseline="0">
                    <a:solidFill>
                      <a:schemeClr val="tx1"/>
                    </a:solidFill>
                  </a:rPr>
                  <a:t> Solids</a:t>
                </a:r>
                <a:r>
                  <a:rPr lang="en-US" sz="1050" b="1">
                    <a:solidFill>
                      <a:schemeClr val="tx1"/>
                    </a:solidFill>
                  </a:rPr>
                  <a:t> (mg/L)</a:t>
                </a:r>
              </a:p>
            </c:rich>
          </c:tx>
          <c:layout>
            <c:manualLayout>
              <c:xMode val="edge"/>
              <c:yMode val="edge"/>
              <c:x val="1.0839531724287513E-2"/>
              <c:y val="0.14972814761791139"/>
            </c:manualLayout>
          </c:layout>
          <c:overlay val="0"/>
          <c:spPr>
            <a:noFill/>
            <a:ln>
              <a:noFill/>
            </a:ln>
            <a:effectLst/>
          </c:spPr>
          <c:txPr>
            <a:bodyPr rot="-540000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crossAx val="625668328"/>
        <c:crosses val="autoZero"/>
        <c:crossBetween val="between"/>
      </c:valAx>
      <c:spPr>
        <a:noFill/>
        <a:ln>
          <a:solidFill>
            <a:schemeClr val="bg1">
              <a:lumMod val="65000"/>
            </a:schemeClr>
          </a:solidFill>
        </a:ln>
        <a:effectLst/>
      </c:spPr>
    </c:plotArea>
    <c:legend>
      <c:legendPos val="t"/>
      <c:layout>
        <c:manualLayout>
          <c:xMode val="edge"/>
          <c:yMode val="edge"/>
          <c:x val="0.21170713503044616"/>
          <c:y val="0.14493311063389805"/>
          <c:w val="0.66424918599014604"/>
          <c:h val="9.2449852859301684E-2"/>
        </c:manualLayout>
      </c:layout>
      <c:overlay val="0"/>
      <c:spPr>
        <a:solidFill>
          <a:schemeClr val="bg1"/>
        </a:solidFill>
        <a:ln>
          <a:solidFill>
            <a:schemeClr val="bg1">
              <a:lumMod val="65000"/>
            </a:schemeClr>
          </a:solid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en-US" sz="1400" b="1" i="0" baseline="0">
                <a:solidFill>
                  <a:schemeClr val="tx1"/>
                </a:solidFill>
                <a:effectLst/>
              </a:rPr>
              <a:t>TSS at UMOWA Sites 2018/2019</a:t>
            </a:r>
            <a:endParaRPr lang="en-US" sz="1400">
              <a:solidFill>
                <a:schemeClr val="tx1"/>
              </a:solidFill>
              <a:effectLst/>
            </a:endParaRPr>
          </a:p>
        </c:rich>
      </c:tx>
      <c:layout>
        <c:manualLayout>
          <c:xMode val="edge"/>
          <c:yMode val="edge"/>
          <c:x val="0.25320486065306103"/>
          <c:y val="4.3100799691008522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n-US"/>
        </a:p>
      </c:txPr>
    </c:title>
    <c:autoTitleDeleted val="0"/>
    <c:plotArea>
      <c:layout>
        <c:manualLayout>
          <c:layoutTarget val="inner"/>
          <c:xMode val="edge"/>
          <c:yMode val="edge"/>
          <c:x val="0.14626618547681539"/>
          <c:y val="0.13461832895888015"/>
          <c:w val="0.80913926599167807"/>
          <c:h val="0.58641550014581512"/>
        </c:manualLayout>
      </c:layout>
      <c:barChart>
        <c:barDir val="col"/>
        <c:grouping val="clustered"/>
        <c:varyColors val="0"/>
        <c:ser>
          <c:idx val="0"/>
          <c:order val="0"/>
          <c:tx>
            <c:strRef>
              <c:f>Master!$Q$31</c:f>
              <c:strCache>
                <c:ptCount val="1"/>
                <c:pt idx="0">
                  <c:v>Jun-18</c:v>
                </c:pt>
              </c:strCache>
            </c:strRef>
          </c:tx>
          <c:spPr>
            <a:solidFill>
              <a:schemeClr val="bg1">
                <a:lumMod val="50000"/>
              </a:schemeClr>
            </a:solidFill>
            <a:ln w="12700">
              <a:solidFill>
                <a:schemeClr val="tx1"/>
              </a:solidFill>
            </a:ln>
            <a:effectLst/>
          </c:spPr>
          <c:invertIfNegative val="0"/>
          <c:dPt>
            <c:idx val="5"/>
            <c:invertIfNegative val="0"/>
            <c:bubble3D val="0"/>
            <c:spPr>
              <a:solidFill>
                <a:schemeClr val="bg1">
                  <a:lumMod val="50000"/>
                </a:schemeClr>
              </a:solidFill>
              <a:ln w="12700">
                <a:solidFill>
                  <a:schemeClr val="tx1"/>
                </a:solidFill>
              </a:ln>
              <a:effectLst/>
            </c:spPr>
            <c:extLst>
              <c:ext xmlns:c16="http://schemas.microsoft.com/office/drawing/2014/chart" uri="{C3380CC4-5D6E-409C-BE32-E72D297353CC}">
                <c16:uniqueId val="{00000001-8033-4025-B869-7B2EACC9B124}"/>
              </c:ext>
            </c:extLst>
          </c:dPt>
          <c:cat>
            <c:strRef>
              <c:f>Master!$P$32:$P$38</c:f>
              <c:strCache>
                <c:ptCount val="7"/>
                <c:pt idx="0">
                  <c:v>MO_LPPC US</c:v>
                </c:pt>
                <c:pt idx="1">
                  <c:v>MO_LPPC DS</c:v>
                </c:pt>
                <c:pt idx="2">
                  <c:v>MO_Craig</c:v>
                </c:pt>
                <c:pt idx="3">
                  <c:v>MO_ Dear US</c:v>
                </c:pt>
                <c:pt idx="4">
                  <c:v>MO_Dear DS</c:v>
                </c:pt>
                <c:pt idx="5">
                  <c:v>MO_Hardy</c:v>
                </c:pt>
                <c:pt idx="6">
                  <c:v>MO_Cascade</c:v>
                </c:pt>
              </c:strCache>
            </c:strRef>
          </c:cat>
          <c:val>
            <c:numRef>
              <c:f>Master!$Q$32:$Q$38</c:f>
              <c:numCache>
                <c:formatCode>General</c:formatCode>
                <c:ptCount val="7"/>
                <c:pt idx="0">
                  <c:v>6</c:v>
                </c:pt>
                <c:pt idx="1">
                  <c:v>2.4</c:v>
                </c:pt>
                <c:pt idx="2">
                  <c:v>10</c:v>
                </c:pt>
                <c:pt idx="3">
                  <c:v>6</c:v>
                </c:pt>
                <c:pt idx="4">
                  <c:v>6</c:v>
                </c:pt>
                <c:pt idx="5">
                  <c:v>7</c:v>
                </c:pt>
                <c:pt idx="6">
                  <c:v>9</c:v>
                </c:pt>
              </c:numCache>
            </c:numRef>
          </c:val>
          <c:extLst>
            <c:ext xmlns:c16="http://schemas.microsoft.com/office/drawing/2014/chart" uri="{C3380CC4-5D6E-409C-BE32-E72D297353CC}">
              <c16:uniqueId val="{00000002-8033-4025-B869-7B2EACC9B124}"/>
            </c:ext>
          </c:extLst>
        </c:ser>
        <c:ser>
          <c:idx val="4"/>
          <c:order val="1"/>
          <c:tx>
            <c:strRef>
              <c:f>Master!$R$31</c:f>
              <c:strCache>
                <c:ptCount val="1"/>
                <c:pt idx="0">
                  <c:v>Jul-18</c:v>
                </c:pt>
              </c:strCache>
            </c:strRef>
          </c:tx>
          <c:spPr>
            <a:solidFill>
              <a:srgbClr val="C00000"/>
            </a:solidFill>
            <a:ln w="12700">
              <a:solidFill>
                <a:schemeClr val="tx1"/>
              </a:solidFill>
            </a:ln>
            <a:effectLst/>
          </c:spPr>
          <c:invertIfNegative val="0"/>
          <c:cat>
            <c:strRef>
              <c:f>Master!$P$32:$P$38</c:f>
              <c:strCache>
                <c:ptCount val="7"/>
                <c:pt idx="0">
                  <c:v>MO_LPPC US</c:v>
                </c:pt>
                <c:pt idx="1">
                  <c:v>MO_LPPC DS</c:v>
                </c:pt>
                <c:pt idx="2">
                  <c:v>MO_Craig</c:v>
                </c:pt>
                <c:pt idx="3">
                  <c:v>MO_ Dear US</c:v>
                </c:pt>
                <c:pt idx="4">
                  <c:v>MO_Dear DS</c:v>
                </c:pt>
                <c:pt idx="5">
                  <c:v>MO_Hardy</c:v>
                </c:pt>
                <c:pt idx="6">
                  <c:v>MO_Cascade</c:v>
                </c:pt>
              </c:strCache>
            </c:strRef>
          </c:cat>
          <c:val>
            <c:numRef>
              <c:f>Master!$R$32:$R$38</c:f>
              <c:numCache>
                <c:formatCode>General</c:formatCode>
                <c:ptCount val="7"/>
                <c:pt idx="0">
                  <c:v>1.2</c:v>
                </c:pt>
                <c:pt idx="1">
                  <c:v>2.8</c:v>
                </c:pt>
                <c:pt idx="2">
                  <c:v>1.6</c:v>
                </c:pt>
                <c:pt idx="3">
                  <c:v>1.6</c:v>
                </c:pt>
                <c:pt idx="4">
                  <c:v>0.8</c:v>
                </c:pt>
                <c:pt idx="5">
                  <c:v>1.2</c:v>
                </c:pt>
                <c:pt idx="6">
                  <c:v>4</c:v>
                </c:pt>
              </c:numCache>
            </c:numRef>
          </c:val>
          <c:extLst>
            <c:ext xmlns:c16="http://schemas.microsoft.com/office/drawing/2014/chart" uri="{C3380CC4-5D6E-409C-BE32-E72D297353CC}">
              <c16:uniqueId val="{00000003-8033-4025-B869-7B2EACC9B124}"/>
            </c:ext>
          </c:extLst>
        </c:ser>
        <c:ser>
          <c:idx val="3"/>
          <c:order val="2"/>
          <c:tx>
            <c:strRef>
              <c:f>Master!$S$31</c:f>
              <c:strCache>
                <c:ptCount val="1"/>
                <c:pt idx="0">
                  <c:v>Oct-18</c:v>
                </c:pt>
              </c:strCache>
            </c:strRef>
          </c:tx>
          <c:spPr>
            <a:solidFill>
              <a:srgbClr val="0070C0"/>
            </a:solidFill>
            <a:ln w="12700">
              <a:solidFill>
                <a:schemeClr val="tx1"/>
              </a:solidFill>
            </a:ln>
            <a:effectLst/>
          </c:spPr>
          <c:invertIfNegative val="0"/>
          <c:cat>
            <c:strRef>
              <c:f>Master!$P$32:$P$38</c:f>
              <c:strCache>
                <c:ptCount val="7"/>
                <c:pt idx="0">
                  <c:v>MO_LPPC US</c:v>
                </c:pt>
                <c:pt idx="1">
                  <c:v>MO_LPPC DS</c:v>
                </c:pt>
                <c:pt idx="2">
                  <c:v>MO_Craig</c:v>
                </c:pt>
                <c:pt idx="3">
                  <c:v>MO_ Dear US</c:v>
                </c:pt>
                <c:pt idx="4">
                  <c:v>MO_Dear DS</c:v>
                </c:pt>
                <c:pt idx="5">
                  <c:v>MO_Hardy</c:v>
                </c:pt>
                <c:pt idx="6">
                  <c:v>MO_Cascade</c:v>
                </c:pt>
              </c:strCache>
            </c:strRef>
          </c:cat>
          <c:val>
            <c:numRef>
              <c:f>Master!$S$32:$S$38</c:f>
              <c:numCache>
                <c:formatCode>General</c:formatCode>
                <c:ptCount val="7"/>
                <c:pt idx="0">
                  <c:v>2.4</c:v>
                </c:pt>
                <c:pt idx="1">
                  <c:v>2.4</c:v>
                </c:pt>
                <c:pt idx="2">
                  <c:v>2.8</c:v>
                </c:pt>
                <c:pt idx="3">
                  <c:v>1.2</c:v>
                </c:pt>
                <c:pt idx="4">
                  <c:v>0.8</c:v>
                </c:pt>
                <c:pt idx="5">
                  <c:v>2</c:v>
                </c:pt>
                <c:pt idx="6">
                  <c:v>1.2</c:v>
                </c:pt>
              </c:numCache>
            </c:numRef>
          </c:val>
          <c:extLst>
            <c:ext xmlns:c16="http://schemas.microsoft.com/office/drawing/2014/chart" uri="{C3380CC4-5D6E-409C-BE32-E72D297353CC}">
              <c16:uniqueId val="{00000004-8033-4025-B869-7B2EACC9B124}"/>
            </c:ext>
          </c:extLst>
        </c:ser>
        <c:ser>
          <c:idx val="1"/>
          <c:order val="3"/>
          <c:tx>
            <c:strRef>
              <c:f>Master!$T$31</c:f>
              <c:strCache>
                <c:ptCount val="1"/>
                <c:pt idx="0">
                  <c:v>Oct-19</c:v>
                </c:pt>
              </c:strCache>
            </c:strRef>
          </c:tx>
          <c:spPr>
            <a:pattFill prst="pct80">
              <a:fgClr>
                <a:srgbClr val="0070C0"/>
              </a:fgClr>
              <a:bgClr>
                <a:schemeClr val="bg1"/>
              </a:bgClr>
            </a:pattFill>
            <a:ln>
              <a:solidFill>
                <a:schemeClr val="tx1"/>
              </a:solidFill>
            </a:ln>
            <a:effectLst/>
          </c:spPr>
          <c:invertIfNegative val="0"/>
          <c:dPt>
            <c:idx val="7"/>
            <c:invertIfNegative val="0"/>
            <c:bubble3D val="0"/>
            <c:spPr>
              <a:pattFill prst="pct80">
                <a:fgClr>
                  <a:srgbClr val="0070C0"/>
                </a:fgClr>
                <a:bgClr>
                  <a:schemeClr val="bg1"/>
                </a:bgClr>
              </a:pattFill>
              <a:ln w="28575" cap="rnd">
                <a:solidFill>
                  <a:schemeClr val="tx1"/>
                </a:solidFill>
                <a:round/>
              </a:ln>
              <a:effectLst/>
            </c:spPr>
            <c:extLst>
              <c:ext xmlns:c16="http://schemas.microsoft.com/office/drawing/2014/chart" uri="{C3380CC4-5D6E-409C-BE32-E72D297353CC}">
                <c16:uniqueId val="{00000006-8033-4025-B869-7B2EACC9B124}"/>
              </c:ext>
            </c:extLst>
          </c:dPt>
          <c:cat>
            <c:strRef>
              <c:f>Master!$P$32:$P$38</c:f>
              <c:strCache>
                <c:ptCount val="7"/>
                <c:pt idx="0">
                  <c:v>MO_LPPC US</c:v>
                </c:pt>
                <c:pt idx="1">
                  <c:v>MO_LPPC DS</c:v>
                </c:pt>
                <c:pt idx="2">
                  <c:v>MO_Craig</c:v>
                </c:pt>
                <c:pt idx="3">
                  <c:v>MO_ Dear US</c:v>
                </c:pt>
                <c:pt idx="4">
                  <c:v>MO_Dear DS</c:v>
                </c:pt>
                <c:pt idx="5">
                  <c:v>MO_Hardy</c:v>
                </c:pt>
                <c:pt idx="6">
                  <c:v>MO_Cascade</c:v>
                </c:pt>
              </c:strCache>
            </c:strRef>
          </c:cat>
          <c:val>
            <c:numRef>
              <c:f>Master!$T$32:$T$38</c:f>
              <c:numCache>
                <c:formatCode>General</c:formatCode>
                <c:ptCount val="7"/>
                <c:pt idx="0">
                  <c:v>2.8</c:v>
                </c:pt>
                <c:pt idx="1">
                  <c:v>1.6</c:v>
                </c:pt>
                <c:pt idx="2">
                  <c:v>2</c:v>
                </c:pt>
                <c:pt idx="3">
                  <c:v>0.8</c:v>
                </c:pt>
                <c:pt idx="4">
                  <c:v>1.2</c:v>
                </c:pt>
                <c:pt idx="5">
                  <c:v>0.8</c:v>
                </c:pt>
                <c:pt idx="6">
                  <c:v>1.2</c:v>
                </c:pt>
              </c:numCache>
            </c:numRef>
          </c:val>
          <c:extLst>
            <c:ext xmlns:c16="http://schemas.microsoft.com/office/drawing/2014/chart" uri="{C3380CC4-5D6E-409C-BE32-E72D297353CC}">
              <c16:uniqueId val="{00000007-8033-4025-B869-7B2EACC9B124}"/>
            </c:ext>
          </c:extLst>
        </c:ser>
        <c:dLbls>
          <c:showLegendKey val="0"/>
          <c:showVal val="0"/>
          <c:showCatName val="0"/>
          <c:showSerName val="0"/>
          <c:showPercent val="0"/>
          <c:showBubbleSize val="0"/>
        </c:dLbls>
        <c:gapWidth val="219"/>
        <c:axId val="625668328"/>
        <c:axId val="625669640"/>
        <c:extLst/>
      </c:barChart>
      <c:catAx>
        <c:axId val="625668328"/>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3240000" spcFirstLastPara="1" vertOverflow="ellipsis" wrap="square" anchor="ctr" anchorCtr="1"/>
          <a:lstStyle/>
          <a:p>
            <a:pPr>
              <a:defRPr sz="1000" b="1" i="0" u="none" strike="noStrike" kern="1200" baseline="0">
                <a:solidFill>
                  <a:schemeClr val="tx1"/>
                </a:solidFill>
                <a:latin typeface="+mn-lt"/>
                <a:ea typeface="+mn-ea"/>
                <a:cs typeface="+mn-cs"/>
              </a:defRPr>
            </a:pPr>
            <a:endParaRPr lang="en-US"/>
          </a:p>
        </c:txPr>
        <c:crossAx val="625669640"/>
        <c:crosses val="autoZero"/>
        <c:auto val="1"/>
        <c:lblAlgn val="ctr"/>
        <c:lblOffset val="100"/>
        <c:noMultiLvlLbl val="0"/>
      </c:catAx>
      <c:valAx>
        <c:axId val="625669640"/>
        <c:scaling>
          <c:orientation val="minMax"/>
          <c:max val="1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sz="1050" b="1">
                    <a:solidFill>
                      <a:schemeClr val="tx1"/>
                    </a:solidFill>
                  </a:rPr>
                  <a:t>Total Suspended</a:t>
                </a:r>
                <a:r>
                  <a:rPr lang="en-US" sz="1050" b="1" baseline="0">
                    <a:solidFill>
                      <a:schemeClr val="tx1"/>
                    </a:solidFill>
                  </a:rPr>
                  <a:t> Solids</a:t>
                </a:r>
                <a:r>
                  <a:rPr lang="en-US" sz="1050" b="1">
                    <a:solidFill>
                      <a:schemeClr val="tx1"/>
                    </a:solidFill>
                  </a:rPr>
                  <a:t> (mg/L)</a:t>
                </a:r>
              </a:p>
            </c:rich>
          </c:tx>
          <c:layout>
            <c:manualLayout>
              <c:xMode val="edge"/>
              <c:yMode val="edge"/>
              <c:x val="3.8246825848224614E-2"/>
              <c:y val="8.3257402189274854E-2"/>
            </c:manualLayout>
          </c:layout>
          <c:overlay val="0"/>
          <c:spPr>
            <a:noFill/>
            <a:ln>
              <a:noFill/>
            </a:ln>
            <a:effectLst/>
          </c:spPr>
          <c:txPr>
            <a:bodyPr rot="-540000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crossAx val="625668328"/>
        <c:crosses val="autoZero"/>
        <c:crossBetween val="between"/>
      </c:valAx>
      <c:spPr>
        <a:noFill/>
        <a:ln>
          <a:solidFill>
            <a:schemeClr val="bg1">
              <a:lumMod val="65000"/>
            </a:schemeClr>
          </a:solidFill>
        </a:ln>
        <a:effectLst/>
      </c:spPr>
    </c:plotArea>
    <c:legend>
      <c:legendPos val="t"/>
      <c:layout>
        <c:manualLayout>
          <c:xMode val="edge"/>
          <c:yMode val="edge"/>
          <c:x val="0.2171885373707578"/>
          <c:y val="0.15579771592096139"/>
          <c:w val="0.66424918599014604"/>
          <c:h val="9.2449852859301684E-2"/>
        </c:manualLayout>
      </c:layout>
      <c:overlay val="0"/>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en-US" sz="1400" b="1" i="0" baseline="0">
                <a:solidFill>
                  <a:schemeClr val="tx1"/>
                </a:solidFill>
                <a:effectLst/>
              </a:rPr>
              <a:t>NN at UMOWA Sites 2018/2019</a:t>
            </a:r>
            <a:endParaRPr lang="en-US" sz="1400">
              <a:solidFill>
                <a:schemeClr val="tx1"/>
              </a:solidFill>
              <a:effectLst/>
            </a:endParaRPr>
          </a:p>
        </c:rich>
      </c:tx>
      <c:layout>
        <c:manualLayout>
          <c:xMode val="edge"/>
          <c:yMode val="edge"/>
          <c:x val="0.27725763816889443"/>
          <c:y val="1.1193571478052047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n-US"/>
        </a:p>
      </c:txPr>
    </c:title>
    <c:autoTitleDeleted val="0"/>
    <c:plotArea>
      <c:layout>
        <c:manualLayout>
          <c:layoutTarget val="inner"/>
          <c:xMode val="edge"/>
          <c:yMode val="edge"/>
          <c:x val="0.1511324405617181"/>
          <c:y val="0.13461828798777675"/>
          <c:w val="0.79981517170493543"/>
          <c:h val="0.58641550014581512"/>
        </c:manualLayout>
      </c:layout>
      <c:barChart>
        <c:barDir val="col"/>
        <c:grouping val="clustered"/>
        <c:varyColors val="0"/>
        <c:ser>
          <c:idx val="4"/>
          <c:order val="0"/>
          <c:tx>
            <c:strRef>
              <c:f>'Inorganic Nitrogen'!$T$13</c:f>
              <c:strCache>
                <c:ptCount val="1"/>
                <c:pt idx="0">
                  <c:v>Jun-18</c:v>
                </c:pt>
              </c:strCache>
            </c:strRef>
          </c:tx>
          <c:spPr>
            <a:solidFill>
              <a:schemeClr val="bg1">
                <a:lumMod val="65000"/>
              </a:schemeClr>
            </a:solidFill>
            <a:ln>
              <a:solidFill>
                <a:schemeClr val="tx1"/>
              </a:solidFill>
            </a:ln>
            <a:effectLst/>
          </c:spPr>
          <c:invertIfNegative val="0"/>
          <c:cat>
            <c:strRef>
              <c:f>'Inorganic Nitrogen'!$S$14:$S$20</c:f>
              <c:strCache>
                <c:ptCount val="7"/>
                <c:pt idx="0">
                  <c:v>MO_LPPC US</c:v>
                </c:pt>
                <c:pt idx="1">
                  <c:v>MO_LPPC DS</c:v>
                </c:pt>
                <c:pt idx="2">
                  <c:v>MO_Craig</c:v>
                </c:pt>
                <c:pt idx="3">
                  <c:v>MO_ Dear US</c:v>
                </c:pt>
                <c:pt idx="4">
                  <c:v>MO_Dear DS</c:v>
                </c:pt>
                <c:pt idx="5">
                  <c:v>MO_Hardy</c:v>
                </c:pt>
                <c:pt idx="6">
                  <c:v>MO_Cascade</c:v>
                </c:pt>
              </c:strCache>
            </c:strRef>
          </c:cat>
          <c:val>
            <c:numRef>
              <c:f>'Inorganic Nitrogen'!$T$14:$T$20</c:f>
              <c:numCache>
                <c:formatCode>General</c:formatCode>
                <c:ptCount val="7"/>
                <c:pt idx="0">
                  <c:v>0.14000000000000001</c:v>
                </c:pt>
                <c:pt idx="1">
                  <c:v>0.14000000000000001</c:v>
                </c:pt>
                <c:pt idx="2">
                  <c:v>0.14000000000000001</c:v>
                </c:pt>
                <c:pt idx="3">
                  <c:v>0.15</c:v>
                </c:pt>
                <c:pt idx="4">
                  <c:v>0</c:v>
                </c:pt>
                <c:pt idx="5">
                  <c:v>0.14000000000000001</c:v>
                </c:pt>
                <c:pt idx="6">
                  <c:v>0.14000000000000001</c:v>
                </c:pt>
              </c:numCache>
            </c:numRef>
          </c:val>
          <c:extLst>
            <c:ext xmlns:c16="http://schemas.microsoft.com/office/drawing/2014/chart" uri="{C3380CC4-5D6E-409C-BE32-E72D297353CC}">
              <c16:uniqueId val="{00000000-8054-41B1-A194-A153779E160E}"/>
            </c:ext>
          </c:extLst>
        </c:ser>
        <c:ser>
          <c:idx val="0"/>
          <c:order val="1"/>
          <c:tx>
            <c:strRef>
              <c:f>'Inorganic Nitrogen'!$U$13</c:f>
              <c:strCache>
                <c:ptCount val="1"/>
                <c:pt idx="0">
                  <c:v>Jul-18</c:v>
                </c:pt>
              </c:strCache>
            </c:strRef>
          </c:tx>
          <c:spPr>
            <a:solidFill>
              <a:srgbClr val="C00000"/>
            </a:solidFill>
            <a:ln w="12700">
              <a:solidFill>
                <a:schemeClr val="tx1"/>
              </a:solidFill>
            </a:ln>
            <a:effectLst/>
          </c:spPr>
          <c:invertIfNegative val="0"/>
          <c:dPt>
            <c:idx val="5"/>
            <c:invertIfNegative val="0"/>
            <c:bubble3D val="0"/>
            <c:spPr>
              <a:solidFill>
                <a:srgbClr val="C00000"/>
              </a:solidFill>
              <a:ln w="12700">
                <a:solidFill>
                  <a:schemeClr val="tx1"/>
                </a:solidFill>
              </a:ln>
              <a:effectLst/>
            </c:spPr>
            <c:extLst>
              <c:ext xmlns:c16="http://schemas.microsoft.com/office/drawing/2014/chart" uri="{C3380CC4-5D6E-409C-BE32-E72D297353CC}">
                <c16:uniqueId val="{00000002-8054-41B1-A194-A153779E160E}"/>
              </c:ext>
            </c:extLst>
          </c:dPt>
          <c:cat>
            <c:strRef>
              <c:f>'Inorganic Nitrogen'!$S$14:$S$20</c:f>
              <c:strCache>
                <c:ptCount val="7"/>
                <c:pt idx="0">
                  <c:v>MO_LPPC US</c:v>
                </c:pt>
                <c:pt idx="1">
                  <c:v>MO_LPPC DS</c:v>
                </c:pt>
                <c:pt idx="2">
                  <c:v>MO_Craig</c:v>
                </c:pt>
                <c:pt idx="3">
                  <c:v>MO_ Dear US</c:v>
                </c:pt>
                <c:pt idx="4">
                  <c:v>MO_Dear DS</c:v>
                </c:pt>
                <c:pt idx="5">
                  <c:v>MO_Hardy</c:v>
                </c:pt>
                <c:pt idx="6">
                  <c:v>MO_Cascade</c:v>
                </c:pt>
              </c:strCache>
            </c:strRef>
          </c:cat>
          <c:val>
            <c:numRef>
              <c:f>'Inorganic Nitrogen'!$U$14:$U$20</c:f>
              <c:numCache>
                <c:formatCode>General</c:formatCode>
                <c:ptCount val="7"/>
                <c:pt idx="0">
                  <c:v>0.08</c:v>
                </c:pt>
                <c:pt idx="1">
                  <c:v>0.06</c:v>
                </c:pt>
                <c:pt idx="2">
                  <c:v>0.03</c:v>
                </c:pt>
                <c:pt idx="3">
                  <c:v>0.04</c:v>
                </c:pt>
                <c:pt idx="4">
                  <c:v>0</c:v>
                </c:pt>
                <c:pt idx="5">
                  <c:v>0.03</c:v>
                </c:pt>
                <c:pt idx="6">
                  <c:v>0</c:v>
                </c:pt>
              </c:numCache>
            </c:numRef>
          </c:val>
          <c:extLst>
            <c:ext xmlns:c16="http://schemas.microsoft.com/office/drawing/2014/chart" uri="{C3380CC4-5D6E-409C-BE32-E72D297353CC}">
              <c16:uniqueId val="{00000003-8054-41B1-A194-A153779E160E}"/>
            </c:ext>
          </c:extLst>
        </c:ser>
        <c:ser>
          <c:idx val="1"/>
          <c:order val="2"/>
          <c:tx>
            <c:strRef>
              <c:f>'Inorganic Nitrogen'!$V$13</c:f>
              <c:strCache>
                <c:ptCount val="1"/>
                <c:pt idx="0">
                  <c:v>Oct-18</c:v>
                </c:pt>
              </c:strCache>
            </c:strRef>
          </c:tx>
          <c:spPr>
            <a:solidFill>
              <a:srgbClr val="0070C0"/>
            </a:solidFill>
            <a:ln w="12700">
              <a:solidFill>
                <a:schemeClr val="tx1"/>
              </a:solidFill>
            </a:ln>
            <a:effectLst/>
          </c:spPr>
          <c:invertIfNegative val="0"/>
          <c:dPt>
            <c:idx val="7"/>
            <c:invertIfNegative val="0"/>
            <c:bubble3D val="0"/>
            <c:spPr>
              <a:solidFill>
                <a:srgbClr val="0070C0"/>
              </a:solidFill>
              <a:ln w="12700" cap="rnd">
                <a:solidFill>
                  <a:schemeClr val="tx1"/>
                </a:solidFill>
                <a:round/>
              </a:ln>
              <a:effectLst/>
            </c:spPr>
            <c:extLst>
              <c:ext xmlns:c16="http://schemas.microsoft.com/office/drawing/2014/chart" uri="{C3380CC4-5D6E-409C-BE32-E72D297353CC}">
                <c16:uniqueId val="{00000005-8054-41B1-A194-A153779E160E}"/>
              </c:ext>
            </c:extLst>
          </c:dPt>
          <c:cat>
            <c:strRef>
              <c:f>'Inorganic Nitrogen'!$S$14:$S$20</c:f>
              <c:strCache>
                <c:ptCount val="7"/>
                <c:pt idx="0">
                  <c:v>MO_LPPC US</c:v>
                </c:pt>
                <c:pt idx="1">
                  <c:v>MO_LPPC DS</c:v>
                </c:pt>
                <c:pt idx="2">
                  <c:v>MO_Craig</c:v>
                </c:pt>
                <c:pt idx="3">
                  <c:v>MO_ Dear US</c:v>
                </c:pt>
                <c:pt idx="4">
                  <c:v>MO_Dear DS</c:v>
                </c:pt>
                <c:pt idx="5">
                  <c:v>MO_Hardy</c:v>
                </c:pt>
                <c:pt idx="6">
                  <c:v>MO_Cascade</c:v>
                </c:pt>
              </c:strCache>
            </c:strRef>
          </c:cat>
          <c:val>
            <c:numRef>
              <c:f>'Inorganic Nitrogen'!$V$14:$V$20</c:f>
              <c:numCache>
                <c:formatCode>General</c:formatCode>
                <c:ptCount val="7"/>
                <c:pt idx="0">
                  <c:v>0.17</c:v>
                </c:pt>
                <c:pt idx="1">
                  <c:v>7.0000000000000007E-2</c:v>
                </c:pt>
                <c:pt idx="2">
                  <c:v>0.17</c:v>
                </c:pt>
                <c:pt idx="3">
                  <c:v>0.17</c:v>
                </c:pt>
                <c:pt idx="4">
                  <c:v>0</c:v>
                </c:pt>
                <c:pt idx="5">
                  <c:v>0.19</c:v>
                </c:pt>
                <c:pt idx="6">
                  <c:v>0.14000000000000001</c:v>
                </c:pt>
              </c:numCache>
            </c:numRef>
          </c:val>
          <c:extLst>
            <c:ext xmlns:c16="http://schemas.microsoft.com/office/drawing/2014/chart" uri="{C3380CC4-5D6E-409C-BE32-E72D297353CC}">
              <c16:uniqueId val="{00000006-8054-41B1-A194-A153779E160E}"/>
            </c:ext>
          </c:extLst>
        </c:ser>
        <c:ser>
          <c:idx val="2"/>
          <c:order val="3"/>
          <c:tx>
            <c:strRef>
              <c:f>'Inorganic Nitrogen'!$W$13</c:f>
              <c:strCache>
                <c:ptCount val="1"/>
                <c:pt idx="0">
                  <c:v>Oct-19</c:v>
                </c:pt>
              </c:strCache>
            </c:strRef>
          </c:tx>
          <c:spPr>
            <a:pattFill prst="pct80">
              <a:fgClr>
                <a:srgbClr val="0070C0"/>
              </a:fgClr>
              <a:bgClr>
                <a:schemeClr val="bg1"/>
              </a:bgClr>
            </a:pattFill>
            <a:ln w="12700">
              <a:solidFill>
                <a:schemeClr val="tx1"/>
              </a:solidFill>
            </a:ln>
            <a:effectLst/>
          </c:spPr>
          <c:invertIfNegative val="0"/>
          <c:cat>
            <c:strRef>
              <c:f>'Inorganic Nitrogen'!$S$14:$S$20</c:f>
              <c:strCache>
                <c:ptCount val="7"/>
                <c:pt idx="0">
                  <c:v>MO_LPPC US</c:v>
                </c:pt>
                <c:pt idx="1">
                  <c:v>MO_LPPC DS</c:v>
                </c:pt>
                <c:pt idx="2">
                  <c:v>MO_Craig</c:v>
                </c:pt>
                <c:pt idx="3">
                  <c:v>MO_ Dear US</c:v>
                </c:pt>
                <c:pt idx="4">
                  <c:v>MO_Dear DS</c:v>
                </c:pt>
                <c:pt idx="5">
                  <c:v>MO_Hardy</c:v>
                </c:pt>
                <c:pt idx="6">
                  <c:v>MO_Cascade</c:v>
                </c:pt>
              </c:strCache>
            </c:strRef>
          </c:cat>
          <c:val>
            <c:numRef>
              <c:f>'Inorganic Nitrogen'!$W$14:$W$20</c:f>
              <c:numCache>
                <c:formatCode>General</c:formatCode>
                <c:ptCount val="7"/>
                <c:pt idx="0">
                  <c:v>0.11</c:v>
                </c:pt>
                <c:pt idx="1">
                  <c:v>0.1</c:v>
                </c:pt>
                <c:pt idx="2">
                  <c:v>0.12</c:v>
                </c:pt>
                <c:pt idx="3">
                  <c:v>0.09</c:v>
                </c:pt>
                <c:pt idx="4">
                  <c:v>0</c:v>
                </c:pt>
                <c:pt idx="5">
                  <c:v>0.02</c:v>
                </c:pt>
                <c:pt idx="6">
                  <c:v>0.11</c:v>
                </c:pt>
              </c:numCache>
            </c:numRef>
          </c:val>
          <c:extLst>
            <c:ext xmlns:c16="http://schemas.microsoft.com/office/drawing/2014/chart" uri="{C3380CC4-5D6E-409C-BE32-E72D297353CC}">
              <c16:uniqueId val="{00000007-8054-41B1-A194-A153779E160E}"/>
            </c:ext>
          </c:extLst>
        </c:ser>
        <c:dLbls>
          <c:showLegendKey val="0"/>
          <c:showVal val="0"/>
          <c:showCatName val="0"/>
          <c:showSerName val="0"/>
          <c:showPercent val="0"/>
          <c:showBubbleSize val="0"/>
        </c:dLbls>
        <c:gapWidth val="219"/>
        <c:axId val="625668328"/>
        <c:axId val="625669640"/>
        <c:extLst/>
      </c:barChart>
      <c:lineChart>
        <c:grouping val="standard"/>
        <c:varyColors val="0"/>
        <c:ser>
          <c:idx val="3"/>
          <c:order val="4"/>
          <c:tx>
            <c:strRef>
              <c:f>'Inorganic Nitrogen'!$X$13</c:f>
              <c:strCache>
                <c:ptCount val="1"/>
                <c:pt idx="0">
                  <c:v>DEQ Screening Value</c:v>
                </c:pt>
              </c:strCache>
            </c:strRef>
          </c:tx>
          <c:spPr>
            <a:ln w="28575" cap="rnd">
              <a:solidFill>
                <a:schemeClr val="tx1"/>
              </a:solidFill>
              <a:round/>
            </a:ln>
            <a:effectLst/>
          </c:spPr>
          <c:marker>
            <c:symbol val="none"/>
          </c:marker>
          <c:val>
            <c:numRef>
              <c:f>'Inorganic Nitrogen'!$X$14:$X$20</c:f>
              <c:numCache>
                <c:formatCode>General</c:formatCode>
                <c:ptCount val="7"/>
                <c:pt idx="0">
                  <c:v>0.1</c:v>
                </c:pt>
                <c:pt idx="1">
                  <c:v>0.1</c:v>
                </c:pt>
                <c:pt idx="2">
                  <c:v>0.1</c:v>
                </c:pt>
                <c:pt idx="3">
                  <c:v>0.1</c:v>
                </c:pt>
                <c:pt idx="4">
                  <c:v>0.1</c:v>
                </c:pt>
                <c:pt idx="5">
                  <c:v>0.1</c:v>
                </c:pt>
                <c:pt idx="6">
                  <c:v>0.1</c:v>
                </c:pt>
              </c:numCache>
            </c:numRef>
          </c:val>
          <c:smooth val="0"/>
          <c:extLst>
            <c:ext xmlns:c16="http://schemas.microsoft.com/office/drawing/2014/chart" uri="{C3380CC4-5D6E-409C-BE32-E72D297353CC}">
              <c16:uniqueId val="{00000008-8054-41B1-A194-A153779E160E}"/>
            </c:ext>
          </c:extLst>
        </c:ser>
        <c:dLbls>
          <c:showLegendKey val="0"/>
          <c:showVal val="0"/>
          <c:showCatName val="0"/>
          <c:showSerName val="0"/>
          <c:showPercent val="0"/>
          <c:showBubbleSize val="0"/>
        </c:dLbls>
        <c:marker val="1"/>
        <c:smooth val="0"/>
        <c:axId val="625668328"/>
        <c:axId val="625669640"/>
      </c:lineChart>
      <c:catAx>
        <c:axId val="625668328"/>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3240000" spcFirstLastPara="1" vertOverflow="ellipsis" wrap="square" anchor="ctr" anchorCtr="1"/>
          <a:lstStyle/>
          <a:p>
            <a:pPr>
              <a:defRPr sz="1000" b="1" i="0" u="none" strike="noStrike" kern="1200" baseline="0">
                <a:solidFill>
                  <a:schemeClr val="tx1"/>
                </a:solidFill>
                <a:latin typeface="+mn-lt"/>
                <a:ea typeface="+mn-ea"/>
                <a:cs typeface="+mn-cs"/>
              </a:defRPr>
            </a:pPr>
            <a:endParaRPr lang="en-US"/>
          </a:p>
        </c:txPr>
        <c:crossAx val="625669640"/>
        <c:crosses val="autoZero"/>
        <c:auto val="1"/>
        <c:lblAlgn val="ctr"/>
        <c:lblOffset val="100"/>
        <c:noMultiLvlLbl val="0"/>
      </c:catAx>
      <c:valAx>
        <c:axId val="625669640"/>
        <c:scaling>
          <c:orientation val="minMax"/>
          <c:max val="0.2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sz="1050" b="1">
                    <a:solidFill>
                      <a:schemeClr val="tx1"/>
                    </a:solidFill>
                  </a:rPr>
                  <a:t>Total Inorganic Nitrogen (mg/L)</a:t>
                </a:r>
              </a:p>
            </c:rich>
          </c:tx>
          <c:layout>
            <c:manualLayout>
              <c:xMode val="edge"/>
              <c:yMode val="edge"/>
              <c:x val="3.035092143731144E-2"/>
              <c:y val="0.11432578259095912"/>
            </c:manualLayout>
          </c:layout>
          <c:overlay val="0"/>
          <c:spPr>
            <a:noFill/>
            <a:ln>
              <a:noFill/>
            </a:ln>
            <a:effectLst/>
          </c:spPr>
          <c:txPr>
            <a:bodyPr rot="-540000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crossAx val="625668328"/>
        <c:crosses val="autoZero"/>
        <c:crossBetween val="between"/>
      </c:valAx>
      <c:spPr>
        <a:noFill/>
        <a:ln>
          <a:solidFill>
            <a:schemeClr val="bg1">
              <a:lumMod val="65000"/>
            </a:schemeClr>
          </a:solidFill>
        </a:ln>
        <a:effectLst/>
      </c:spPr>
    </c:plotArea>
    <c:legend>
      <c:legendPos val="t"/>
      <c:layout>
        <c:manualLayout>
          <c:xMode val="edge"/>
          <c:yMode val="edge"/>
          <c:x val="0.14812987537396985"/>
          <c:y val="0.14089267687692886"/>
          <c:w val="0.80184791586366377"/>
          <c:h val="6.1813619451414732E-2"/>
        </c:manualLayout>
      </c:layout>
      <c:overlay val="0"/>
      <c:spPr>
        <a:solidFill>
          <a:schemeClr val="bg1"/>
        </a:solidFill>
        <a:ln w="12700">
          <a:solidFill>
            <a:schemeClr val="tx1"/>
          </a:solid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en-US" sz="1400" b="1" i="0" baseline="0">
                <a:solidFill>
                  <a:schemeClr val="tx1"/>
                </a:solidFill>
                <a:effectLst/>
              </a:rPr>
              <a:t>TN at UMOWA Sites 2018/2019</a:t>
            </a:r>
            <a:endParaRPr lang="en-US" sz="1400">
              <a:solidFill>
                <a:schemeClr val="tx1"/>
              </a:solidFill>
              <a:effectLst/>
            </a:endParaRPr>
          </a:p>
        </c:rich>
      </c:tx>
      <c:layout>
        <c:manualLayout>
          <c:xMode val="edge"/>
          <c:yMode val="edge"/>
          <c:x val="0.29040136406306877"/>
          <c:y val="1.1464143350957211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n-US"/>
        </a:p>
      </c:txPr>
    </c:title>
    <c:autoTitleDeleted val="0"/>
    <c:plotArea>
      <c:layout>
        <c:manualLayout>
          <c:layoutTarget val="inner"/>
          <c:xMode val="edge"/>
          <c:yMode val="edge"/>
          <c:x val="0.1243684502940782"/>
          <c:y val="0.13461832895888015"/>
          <c:w val="0.84806866294997796"/>
          <c:h val="0.58641550014581512"/>
        </c:manualLayout>
      </c:layout>
      <c:barChart>
        <c:barDir val="col"/>
        <c:grouping val="clustered"/>
        <c:varyColors val="0"/>
        <c:ser>
          <c:idx val="4"/>
          <c:order val="0"/>
          <c:tx>
            <c:strRef>
              <c:f>'Total Nitrogen'!$Y$14</c:f>
              <c:strCache>
                <c:ptCount val="1"/>
                <c:pt idx="0">
                  <c:v>Jun-18</c:v>
                </c:pt>
              </c:strCache>
            </c:strRef>
          </c:tx>
          <c:spPr>
            <a:solidFill>
              <a:schemeClr val="bg1">
                <a:lumMod val="65000"/>
              </a:schemeClr>
            </a:solidFill>
            <a:ln>
              <a:solidFill>
                <a:schemeClr val="tx1"/>
              </a:solidFill>
            </a:ln>
            <a:effectLst/>
          </c:spPr>
          <c:invertIfNegative val="0"/>
          <c:val>
            <c:numRef>
              <c:f>'Total Nitrogen'!$Y$15:$Y$21</c:f>
              <c:numCache>
                <c:formatCode>General</c:formatCode>
                <c:ptCount val="7"/>
                <c:pt idx="0">
                  <c:v>0.45</c:v>
                </c:pt>
                <c:pt idx="1">
                  <c:v>0.43</c:v>
                </c:pt>
                <c:pt idx="2">
                  <c:v>0.44</c:v>
                </c:pt>
                <c:pt idx="3">
                  <c:v>0.44</c:v>
                </c:pt>
                <c:pt idx="4">
                  <c:v>0.08</c:v>
                </c:pt>
                <c:pt idx="5">
                  <c:v>0.41</c:v>
                </c:pt>
                <c:pt idx="6">
                  <c:v>0.42</c:v>
                </c:pt>
              </c:numCache>
            </c:numRef>
          </c:val>
          <c:extLst>
            <c:ext xmlns:c16="http://schemas.microsoft.com/office/drawing/2014/chart" uri="{C3380CC4-5D6E-409C-BE32-E72D297353CC}">
              <c16:uniqueId val="{00000000-AE50-4791-AF49-B46DF310EAAD}"/>
            </c:ext>
          </c:extLst>
        </c:ser>
        <c:ser>
          <c:idx val="1"/>
          <c:order val="2"/>
          <c:tx>
            <c:strRef>
              <c:f>'Total Nitrogen'!$Z$14</c:f>
              <c:strCache>
                <c:ptCount val="1"/>
                <c:pt idx="0">
                  <c:v>Jul-18</c:v>
                </c:pt>
              </c:strCache>
            </c:strRef>
          </c:tx>
          <c:spPr>
            <a:solidFill>
              <a:srgbClr val="C00000"/>
            </a:solidFill>
            <a:ln w="12700">
              <a:solidFill>
                <a:schemeClr val="tx1"/>
              </a:solidFill>
            </a:ln>
            <a:effectLst/>
          </c:spPr>
          <c:invertIfNegative val="0"/>
          <c:dPt>
            <c:idx val="7"/>
            <c:invertIfNegative val="0"/>
            <c:bubble3D val="0"/>
            <c:spPr>
              <a:solidFill>
                <a:srgbClr val="C00000"/>
              </a:solidFill>
              <a:ln w="12700" cap="rnd">
                <a:solidFill>
                  <a:schemeClr val="tx1"/>
                </a:solidFill>
                <a:round/>
              </a:ln>
              <a:effectLst/>
            </c:spPr>
            <c:extLst>
              <c:ext xmlns:c16="http://schemas.microsoft.com/office/drawing/2014/chart" uri="{C3380CC4-5D6E-409C-BE32-E72D297353CC}">
                <c16:uniqueId val="{00000002-AE50-4791-AF49-B46DF310EAAD}"/>
              </c:ext>
            </c:extLst>
          </c:dPt>
          <c:cat>
            <c:strRef>
              <c:f>'Total Nitrogen'!$X$15:$X$21</c:f>
              <c:strCache>
                <c:ptCount val="7"/>
                <c:pt idx="0">
                  <c:v>MO_LPPC US</c:v>
                </c:pt>
                <c:pt idx="1">
                  <c:v>MO_LPPC DS</c:v>
                </c:pt>
                <c:pt idx="2">
                  <c:v>MO_Craig</c:v>
                </c:pt>
                <c:pt idx="3">
                  <c:v>MO_ Dear US</c:v>
                </c:pt>
                <c:pt idx="4">
                  <c:v>MO_Dear DS</c:v>
                </c:pt>
                <c:pt idx="5">
                  <c:v>MO_Hardy</c:v>
                </c:pt>
                <c:pt idx="6">
                  <c:v>MO_Cascade</c:v>
                </c:pt>
              </c:strCache>
            </c:strRef>
          </c:cat>
          <c:val>
            <c:numRef>
              <c:f>'Total Nitrogen'!$Z$15:$Z$21</c:f>
              <c:numCache>
                <c:formatCode>General</c:formatCode>
                <c:ptCount val="7"/>
                <c:pt idx="0">
                  <c:v>0.38</c:v>
                </c:pt>
                <c:pt idx="1">
                  <c:v>0.24</c:v>
                </c:pt>
                <c:pt idx="2">
                  <c:v>0.32</c:v>
                </c:pt>
                <c:pt idx="3">
                  <c:v>0.32</c:v>
                </c:pt>
                <c:pt idx="4">
                  <c:v>0.11</c:v>
                </c:pt>
                <c:pt idx="5">
                  <c:v>0.33</c:v>
                </c:pt>
                <c:pt idx="6">
                  <c:v>0.3</c:v>
                </c:pt>
              </c:numCache>
            </c:numRef>
          </c:val>
          <c:extLst>
            <c:ext xmlns:c16="http://schemas.microsoft.com/office/drawing/2014/chart" uri="{C3380CC4-5D6E-409C-BE32-E72D297353CC}">
              <c16:uniqueId val="{00000003-AE50-4791-AF49-B46DF310EAAD}"/>
            </c:ext>
          </c:extLst>
        </c:ser>
        <c:ser>
          <c:idx val="2"/>
          <c:order val="3"/>
          <c:tx>
            <c:strRef>
              <c:f>'Total Nitrogen'!$AA$14</c:f>
              <c:strCache>
                <c:ptCount val="1"/>
                <c:pt idx="0">
                  <c:v>Oct-18</c:v>
                </c:pt>
              </c:strCache>
            </c:strRef>
          </c:tx>
          <c:spPr>
            <a:solidFill>
              <a:srgbClr val="0070C0"/>
            </a:solidFill>
            <a:ln>
              <a:solidFill>
                <a:schemeClr val="tx1"/>
              </a:solidFill>
            </a:ln>
            <a:effectLst/>
          </c:spPr>
          <c:invertIfNegative val="0"/>
          <c:cat>
            <c:strRef>
              <c:f>'Total Nitrogen'!$X$15:$X$21</c:f>
              <c:strCache>
                <c:ptCount val="7"/>
                <c:pt idx="0">
                  <c:v>MO_LPPC US</c:v>
                </c:pt>
                <c:pt idx="1">
                  <c:v>MO_LPPC DS</c:v>
                </c:pt>
                <c:pt idx="2">
                  <c:v>MO_Craig</c:v>
                </c:pt>
                <c:pt idx="3">
                  <c:v>MO_ Dear US</c:v>
                </c:pt>
                <c:pt idx="4">
                  <c:v>MO_Dear DS</c:v>
                </c:pt>
                <c:pt idx="5">
                  <c:v>MO_Hardy</c:v>
                </c:pt>
                <c:pt idx="6">
                  <c:v>MO_Cascade</c:v>
                </c:pt>
              </c:strCache>
            </c:strRef>
          </c:cat>
          <c:val>
            <c:numRef>
              <c:f>'Total Nitrogen'!$AA$15:$AA$21</c:f>
              <c:numCache>
                <c:formatCode>General</c:formatCode>
                <c:ptCount val="7"/>
                <c:pt idx="0">
                  <c:v>0.49</c:v>
                </c:pt>
                <c:pt idx="1">
                  <c:v>0.24</c:v>
                </c:pt>
                <c:pt idx="2">
                  <c:v>0.48</c:v>
                </c:pt>
                <c:pt idx="3">
                  <c:v>0.46</c:v>
                </c:pt>
                <c:pt idx="4">
                  <c:v>7.0000000000000007E-2</c:v>
                </c:pt>
                <c:pt idx="5">
                  <c:v>0.47</c:v>
                </c:pt>
                <c:pt idx="6">
                  <c:v>0.47</c:v>
                </c:pt>
              </c:numCache>
            </c:numRef>
          </c:val>
          <c:extLst>
            <c:ext xmlns:c16="http://schemas.microsoft.com/office/drawing/2014/chart" uri="{C3380CC4-5D6E-409C-BE32-E72D297353CC}">
              <c16:uniqueId val="{00000004-AE50-4791-AF49-B46DF310EAAD}"/>
            </c:ext>
          </c:extLst>
        </c:ser>
        <c:ser>
          <c:idx val="3"/>
          <c:order val="4"/>
          <c:tx>
            <c:strRef>
              <c:f>'Total Nitrogen'!$AB$14</c:f>
              <c:strCache>
                <c:ptCount val="1"/>
                <c:pt idx="0">
                  <c:v>Oct-19</c:v>
                </c:pt>
              </c:strCache>
            </c:strRef>
          </c:tx>
          <c:spPr>
            <a:pattFill prst="pct80">
              <a:fgClr>
                <a:srgbClr val="0070C0"/>
              </a:fgClr>
              <a:bgClr>
                <a:schemeClr val="bg1"/>
              </a:bgClr>
            </a:pattFill>
            <a:ln w="12700">
              <a:solidFill>
                <a:schemeClr val="tx1"/>
              </a:solidFill>
            </a:ln>
            <a:effectLst/>
          </c:spPr>
          <c:invertIfNegative val="0"/>
          <c:cat>
            <c:strRef>
              <c:f>'Total Nitrogen'!$X$15:$X$21</c:f>
              <c:strCache>
                <c:ptCount val="7"/>
                <c:pt idx="0">
                  <c:v>MO_LPPC US</c:v>
                </c:pt>
                <c:pt idx="1">
                  <c:v>MO_LPPC DS</c:v>
                </c:pt>
                <c:pt idx="2">
                  <c:v>MO_Craig</c:v>
                </c:pt>
                <c:pt idx="3">
                  <c:v>MO_ Dear US</c:v>
                </c:pt>
                <c:pt idx="4">
                  <c:v>MO_Dear DS</c:v>
                </c:pt>
                <c:pt idx="5">
                  <c:v>MO_Hardy</c:v>
                </c:pt>
                <c:pt idx="6">
                  <c:v>MO_Cascade</c:v>
                </c:pt>
              </c:strCache>
            </c:strRef>
          </c:cat>
          <c:val>
            <c:numRef>
              <c:f>'Total Nitrogen'!$AB$15:$AB$21</c:f>
              <c:numCache>
                <c:formatCode>General</c:formatCode>
                <c:ptCount val="7"/>
                <c:pt idx="0">
                  <c:v>0.34</c:v>
                </c:pt>
                <c:pt idx="1">
                  <c:v>0.21</c:v>
                </c:pt>
                <c:pt idx="2">
                  <c:v>0.28999999999999998</c:v>
                </c:pt>
                <c:pt idx="3">
                  <c:v>0.36</c:v>
                </c:pt>
                <c:pt idx="4">
                  <c:v>0.05</c:v>
                </c:pt>
                <c:pt idx="5">
                  <c:v>0.3</c:v>
                </c:pt>
                <c:pt idx="6">
                  <c:v>0.23</c:v>
                </c:pt>
              </c:numCache>
            </c:numRef>
          </c:val>
          <c:extLst>
            <c:ext xmlns:c16="http://schemas.microsoft.com/office/drawing/2014/chart" uri="{C3380CC4-5D6E-409C-BE32-E72D297353CC}">
              <c16:uniqueId val="{00000005-AE50-4791-AF49-B46DF310EAAD}"/>
            </c:ext>
          </c:extLst>
        </c:ser>
        <c:dLbls>
          <c:showLegendKey val="0"/>
          <c:showVal val="0"/>
          <c:showCatName val="0"/>
          <c:showSerName val="0"/>
          <c:showPercent val="0"/>
          <c:showBubbleSize val="0"/>
        </c:dLbls>
        <c:gapWidth val="219"/>
        <c:axId val="625668328"/>
        <c:axId val="625669640"/>
        <c:extLst>
          <c:ext xmlns:c15="http://schemas.microsoft.com/office/drawing/2012/chart" uri="{02D57815-91ED-43cb-92C2-25804820EDAC}">
            <c15:filteredBarSeries>
              <c15:ser>
                <c:idx val="0"/>
                <c:order val="1"/>
                <c:tx>
                  <c:strRef>
                    <c:extLst>
                      <c:ext uri="{02D57815-91ED-43cb-92C2-25804820EDAC}">
                        <c15:formulaRef>
                          <c15:sqref>'Total Nitrogen'!$Y$14</c15:sqref>
                        </c15:formulaRef>
                      </c:ext>
                    </c:extLst>
                    <c:strCache>
                      <c:ptCount val="1"/>
                      <c:pt idx="0">
                        <c:v>Jun-18</c:v>
                      </c:pt>
                    </c:strCache>
                  </c:strRef>
                </c:tx>
                <c:spPr>
                  <a:solidFill>
                    <a:schemeClr val="bg1">
                      <a:lumMod val="50000"/>
                    </a:schemeClr>
                  </a:solidFill>
                  <a:ln>
                    <a:solidFill>
                      <a:schemeClr val="tx1"/>
                    </a:solidFill>
                  </a:ln>
                  <a:effectLst/>
                </c:spPr>
                <c:invertIfNegative val="0"/>
                <c:dPt>
                  <c:idx val="5"/>
                  <c:invertIfNegative val="0"/>
                  <c:bubble3D val="0"/>
                  <c:spPr>
                    <a:solidFill>
                      <a:schemeClr val="bg1">
                        <a:lumMod val="50000"/>
                      </a:schemeClr>
                    </a:solidFill>
                    <a:ln w="19050">
                      <a:solidFill>
                        <a:schemeClr val="tx1"/>
                      </a:solidFill>
                    </a:ln>
                    <a:effectLst/>
                  </c:spPr>
                  <c:extLst>
                    <c:ext xmlns:c16="http://schemas.microsoft.com/office/drawing/2014/chart" uri="{C3380CC4-5D6E-409C-BE32-E72D297353CC}">
                      <c16:uniqueId val="{00000008-AE50-4791-AF49-B46DF310EAAD}"/>
                    </c:ext>
                  </c:extLst>
                </c:dPt>
                <c:cat>
                  <c:strRef>
                    <c:extLst>
                      <c:ext uri="{02D57815-91ED-43cb-92C2-25804820EDAC}">
                        <c15:formulaRef>
                          <c15:sqref>'Total Nitrogen'!$X$15:$X$21</c15:sqref>
                        </c15:formulaRef>
                      </c:ext>
                    </c:extLst>
                    <c:strCache>
                      <c:ptCount val="7"/>
                      <c:pt idx="0">
                        <c:v>MO_LPPC US</c:v>
                      </c:pt>
                      <c:pt idx="1">
                        <c:v>MO_LPPC DS</c:v>
                      </c:pt>
                      <c:pt idx="2">
                        <c:v>MO_Craig</c:v>
                      </c:pt>
                      <c:pt idx="3">
                        <c:v>MO_ Dear US</c:v>
                      </c:pt>
                      <c:pt idx="4">
                        <c:v>MO_Dear DS</c:v>
                      </c:pt>
                      <c:pt idx="5">
                        <c:v>MO_Hardy</c:v>
                      </c:pt>
                      <c:pt idx="6">
                        <c:v>MO_Cascade</c:v>
                      </c:pt>
                    </c:strCache>
                  </c:strRef>
                </c:cat>
                <c:val>
                  <c:numRef>
                    <c:extLst>
                      <c:ext uri="{02D57815-91ED-43cb-92C2-25804820EDAC}">
                        <c15:formulaRef>
                          <c15:sqref>'Total Nitrogen'!$Y$15:$Y$21</c15:sqref>
                        </c15:formulaRef>
                      </c:ext>
                    </c:extLst>
                    <c:numCache>
                      <c:formatCode>General</c:formatCode>
                      <c:ptCount val="7"/>
                      <c:pt idx="0">
                        <c:v>0.45</c:v>
                      </c:pt>
                      <c:pt idx="1">
                        <c:v>0.43</c:v>
                      </c:pt>
                      <c:pt idx="2">
                        <c:v>0.44</c:v>
                      </c:pt>
                      <c:pt idx="3">
                        <c:v>0.44</c:v>
                      </c:pt>
                      <c:pt idx="4">
                        <c:v>0.08</c:v>
                      </c:pt>
                      <c:pt idx="5">
                        <c:v>0.41</c:v>
                      </c:pt>
                      <c:pt idx="6">
                        <c:v>0.42</c:v>
                      </c:pt>
                    </c:numCache>
                  </c:numRef>
                </c:val>
                <c:extLst>
                  <c:ext xmlns:c16="http://schemas.microsoft.com/office/drawing/2014/chart" uri="{C3380CC4-5D6E-409C-BE32-E72D297353CC}">
                    <c16:uniqueId val="{00000009-AE50-4791-AF49-B46DF310EAAD}"/>
                  </c:ext>
                </c:extLst>
              </c15:ser>
            </c15:filteredBarSeries>
          </c:ext>
        </c:extLst>
      </c:barChart>
      <c:lineChart>
        <c:grouping val="standard"/>
        <c:varyColors val="0"/>
        <c:ser>
          <c:idx val="5"/>
          <c:order val="5"/>
          <c:tx>
            <c:strRef>
              <c:f>'Total Nitrogen'!$AC$14</c:f>
              <c:strCache>
                <c:ptCount val="1"/>
                <c:pt idx="0">
                  <c:v>DEQ Nutrient Standard </c:v>
                </c:pt>
              </c:strCache>
            </c:strRef>
          </c:tx>
          <c:spPr>
            <a:ln w="19050" cap="rnd">
              <a:solidFill>
                <a:srgbClr val="FF0000"/>
              </a:solidFill>
              <a:round/>
            </a:ln>
            <a:effectLst/>
          </c:spPr>
          <c:marker>
            <c:symbol val="none"/>
          </c:marker>
          <c:val>
            <c:numRef>
              <c:f>'Total Nitrogen'!$AC$15:$AC$21</c:f>
              <c:numCache>
                <c:formatCode>General</c:formatCode>
                <c:ptCount val="7"/>
                <c:pt idx="0">
                  <c:v>0.3</c:v>
                </c:pt>
                <c:pt idx="1">
                  <c:v>0.3</c:v>
                </c:pt>
                <c:pt idx="2">
                  <c:v>0.3</c:v>
                </c:pt>
                <c:pt idx="3">
                  <c:v>0.3</c:v>
                </c:pt>
                <c:pt idx="4">
                  <c:v>0.3</c:v>
                </c:pt>
                <c:pt idx="5">
                  <c:v>0.3</c:v>
                </c:pt>
                <c:pt idx="6">
                  <c:v>0.3</c:v>
                </c:pt>
              </c:numCache>
            </c:numRef>
          </c:val>
          <c:smooth val="0"/>
          <c:extLst>
            <c:ext xmlns:c16="http://schemas.microsoft.com/office/drawing/2014/chart" uri="{C3380CC4-5D6E-409C-BE32-E72D297353CC}">
              <c16:uniqueId val="{00000006-AE50-4791-AF49-B46DF310EAAD}"/>
            </c:ext>
          </c:extLst>
        </c:ser>
        <c:dLbls>
          <c:showLegendKey val="0"/>
          <c:showVal val="0"/>
          <c:showCatName val="0"/>
          <c:showSerName val="0"/>
          <c:showPercent val="0"/>
          <c:showBubbleSize val="0"/>
        </c:dLbls>
        <c:marker val="1"/>
        <c:smooth val="0"/>
        <c:axId val="625668328"/>
        <c:axId val="625669640"/>
      </c:lineChart>
      <c:catAx>
        <c:axId val="625668328"/>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3240000" spcFirstLastPara="1" vertOverflow="ellipsis" wrap="square" anchor="ctr" anchorCtr="1"/>
          <a:lstStyle/>
          <a:p>
            <a:pPr>
              <a:defRPr sz="1000" b="1" i="0" u="none" strike="noStrike" kern="1200" baseline="0">
                <a:solidFill>
                  <a:schemeClr val="tx1"/>
                </a:solidFill>
                <a:latin typeface="+mn-lt"/>
                <a:ea typeface="+mn-ea"/>
                <a:cs typeface="+mn-cs"/>
              </a:defRPr>
            </a:pPr>
            <a:endParaRPr lang="en-US"/>
          </a:p>
        </c:txPr>
        <c:crossAx val="625669640"/>
        <c:crosses val="autoZero"/>
        <c:auto val="1"/>
        <c:lblAlgn val="ctr"/>
        <c:lblOffset val="100"/>
        <c:noMultiLvlLbl val="0"/>
      </c:catAx>
      <c:valAx>
        <c:axId val="625669640"/>
        <c:scaling>
          <c:orientation val="minMax"/>
          <c:max val="0.60000000000000009"/>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b="1">
                    <a:solidFill>
                      <a:schemeClr val="tx1"/>
                    </a:solidFill>
                  </a:rPr>
                  <a:t>Total Nitrogen (mg/L)</a:t>
                </a:r>
              </a:p>
            </c:rich>
          </c:tx>
          <c:layout>
            <c:manualLayout>
              <c:xMode val="edge"/>
              <c:yMode val="edge"/>
              <c:x val="1.8185527903902522E-2"/>
              <c:y val="0.23014031027101439"/>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crossAx val="625668328"/>
        <c:crosses val="autoZero"/>
        <c:crossBetween val="between"/>
      </c:valAx>
      <c:spPr>
        <a:noFill/>
        <a:ln>
          <a:solidFill>
            <a:schemeClr val="bg1">
              <a:lumMod val="65000"/>
            </a:schemeClr>
          </a:solidFill>
        </a:ln>
        <a:effectLst/>
      </c:spPr>
    </c:plotArea>
    <c:legend>
      <c:legendPos val="t"/>
      <c:layout>
        <c:manualLayout>
          <c:xMode val="edge"/>
          <c:yMode val="edge"/>
          <c:x val="0.12121582555840639"/>
          <c:y val="0.11783793596405635"/>
          <c:w val="0.84970323964978833"/>
          <c:h val="9.9342999992436107E-2"/>
        </c:manualLayout>
      </c:layout>
      <c:overlay val="0"/>
      <c:spPr>
        <a:solidFill>
          <a:schemeClr val="bg1"/>
        </a:solidFill>
        <a:ln>
          <a:solidFill>
            <a:schemeClr val="tx1"/>
          </a:solid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1" i="0" u="none" strike="noStrike" kern="1200" spc="0" baseline="0">
                <a:solidFill>
                  <a:schemeClr val="tx1"/>
                </a:solidFill>
                <a:latin typeface="+mn-lt"/>
                <a:ea typeface="+mn-ea"/>
                <a:cs typeface="+mn-cs"/>
              </a:defRPr>
            </a:pPr>
            <a:r>
              <a:rPr lang="en-US" sz="1400" b="1" i="0" baseline="0">
                <a:solidFill>
                  <a:schemeClr val="tx1"/>
                </a:solidFill>
                <a:effectLst/>
              </a:rPr>
              <a:t>TP at UMOWA Sites 2018/2019</a:t>
            </a:r>
            <a:endParaRPr lang="en-US" sz="1400" b="1">
              <a:solidFill>
                <a:schemeClr val="tx1"/>
              </a:solidFill>
              <a:effectLst/>
            </a:endParaRPr>
          </a:p>
        </c:rich>
      </c:tx>
      <c:layout>
        <c:manualLayout>
          <c:xMode val="edge"/>
          <c:yMode val="edge"/>
          <c:x val="0.29295493540339262"/>
          <c:y val="2.3623595723100983E-3"/>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1" i="0" u="none" strike="noStrike" kern="1200" spc="0" baseline="0">
              <a:solidFill>
                <a:schemeClr val="tx1"/>
              </a:solidFill>
              <a:latin typeface="+mn-lt"/>
              <a:ea typeface="+mn-ea"/>
              <a:cs typeface="+mn-cs"/>
            </a:defRPr>
          </a:pPr>
          <a:endParaRPr lang="en-US"/>
        </a:p>
      </c:txPr>
    </c:title>
    <c:autoTitleDeleted val="0"/>
    <c:plotArea>
      <c:layout>
        <c:manualLayout>
          <c:layoutTarget val="inner"/>
          <c:xMode val="edge"/>
          <c:yMode val="edge"/>
          <c:x val="0.12839201647504209"/>
          <c:y val="0.11742639420827683"/>
          <c:w val="0.8410524187628784"/>
          <c:h val="0.61841393692857882"/>
        </c:manualLayout>
      </c:layout>
      <c:barChart>
        <c:barDir val="col"/>
        <c:grouping val="clustered"/>
        <c:varyColors val="0"/>
        <c:ser>
          <c:idx val="0"/>
          <c:order val="0"/>
          <c:tx>
            <c:strRef>
              <c:f>'Total Phosphorus'!$U$28</c:f>
              <c:strCache>
                <c:ptCount val="1"/>
                <c:pt idx="0">
                  <c:v>Jun-18</c:v>
                </c:pt>
              </c:strCache>
            </c:strRef>
          </c:tx>
          <c:spPr>
            <a:solidFill>
              <a:schemeClr val="bg1">
                <a:lumMod val="65000"/>
              </a:schemeClr>
            </a:solidFill>
            <a:ln w="12700">
              <a:solidFill>
                <a:schemeClr val="tx1"/>
              </a:solidFill>
            </a:ln>
            <a:effectLst/>
          </c:spPr>
          <c:invertIfNegative val="0"/>
          <c:cat>
            <c:strRef>
              <c:f>'Total Phosphorus'!$T$29:$T$35</c:f>
              <c:strCache>
                <c:ptCount val="7"/>
                <c:pt idx="0">
                  <c:v>MO_LPPC US</c:v>
                </c:pt>
                <c:pt idx="1">
                  <c:v>MO_LPPC DS</c:v>
                </c:pt>
                <c:pt idx="2">
                  <c:v>MO_Craig</c:v>
                </c:pt>
                <c:pt idx="3">
                  <c:v>MO_ Dear US</c:v>
                </c:pt>
                <c:pt idx="4">
                  <c:v>MO_Dear DS</c:v>
                </c:pt>
                <c:pt idx="5">
                  <c:v>MO_Hardy</c:v>
                </c:pt>
                <c:pt idx="6">
                  <c:v>MO_Cascade</c:v>
                </c:pt>
              </c:strCache>
            </c:strRef>
          </c:cat>
          <c:val>
            <c:numRef>
              <c:f>'Total Phosphorus'!$U$29:$U$35</c:f>
              <c:numCache>
                <c:formatCode>General</c:formatCode>
                <c:ptCount val="7"/>
                <c:pt idx="0">
                  <c:v>3.1E-2</c:v>
                </c:pt>
                <c:pt idx="1">
                  <c:v>0.03</c:v>
                </c:pt>
                <c:pt idx="2">
                  <c:v>3.6999999999999998E-2</c:v>
                </c:pt>
                <c:pt idx="3">
                  <c:v>3.3000000000000002E-2</c:v>
                </c:pt>
                <c:pt idx="4">
                  <c:v>6.0000000000000001E-3</c:v>
                </c:pt>
                <c:pt idx="5">
                  <c:v>2.8000000000000001E-2</c:v>
                </c:pt>
                <c:pt idx="6">
                  <c:v>3.5000000000000003E-2</c:v>
                </c:pt>
              </c:numCache>
            </c:numRef>
          </c:val>
          <c:extLst>
            <c:ext xmlns:c16="http://schemas.microsoft.com/office/drawing/2014/chart" uri="{C3380CC4-5D6E-409C-BE32-E72D297353CC}">
              <c16:uniqueId val="{00000000-B4F8-4CBA-88AE-3EC77DC3AE01}"/>
            </c:ext>
          </c:extLst>
        </c:ser>
        <c:ser>
          <c:idx val="1"/>
          <c:order val="1"/>
          <c:tx>
            <c:strRef>
              <c:f>'Total Phosphorus'!$V$28</c:f>
              <c:strCache>
                <c:ptCount val="1"/>
                <c:pt idx="0">
                  <c:v>Jul-18</c:v>
                </c:pt>
              </c:strCache>
            </c:strRef>
          </c:tx>
          <c:spPr>
            <a:solidFill>
              <a:srgbClr val="C00000"/>
            </a:solidFill>
            <a:ln w="12700">
              <a:solidFill>
                <a:schemeClr val="tx1"/>
              </a:solidFill>
            </a:ln>
            <a:effectLst/>
          </c:spPr>
          <c:invertIfNegative val="0"/>
          <c:cat>
            <c:strRef>
              <c:f>'Total Phosphorus'!$T$29:$T$35</c:f>
              <c:strCache>
                <c:ptCount val="7"/>
                <c:pt idx="0">
                  <c:v>MO_LPPC US</c:v>
                </c:pt>
                <c:pt idx="1">
                  <c:v>MO_LPPC DS</c:v>
                </c:pt>
                <c:pt idx="2">
                  <c:v>MO_Craig</c:v>
                </c:pt>
                <c:pt idx="3">
                  <c:v>MO_ Dear US</c:v>
                </c:pt>
                <c:pt idx="4">
                  <c:v>MO_Dear DS</c:v>
                </c:pt>
                <c:pt idx="5">
                  <c:v>MO_Hardy</c:v>
                </c:pt>
                <c:pt idx="6">
                  <c:v>MO_Cascade</c:v>
                </c:pt>
              </c:strCache>
            </c:strRef>
          </c:cat>
          <c:val>
            <c:numRef>
              <c:f>'Total Phosphorus'!$V$29:$V$35</c:f>
              <c:numCache>
                <c:formatCode>General</c:formatCode>
                <c:ptCount val="7"/>
                <c:pt idx="0">
                  <c:v>3.3000000000000002E-2</c:v>
                </c:pt>
                <c:pt idx="1">
                  <c:v>1.7999999999999999E-2</c:v>
                </c:pt>
                <c:pt idx="2">
                  <c:v>3.1E-2</c:v>
                </c:pt>
                <c:pt idx="3">
                  <c:v>2.8000000000000001E-2</c:v>
                </c:pt>
                <c:pt idx="4">
                  <c:v>6.0000000000000001E-3</c:v>
                </c:pt>
                <c:pt idx="5">
                  <c:v>2.7E-2</c:v>
                </c:pt>
                <c:pt idx="6">
                  <c:v>2.5000000000000001E-2</c:v>
                </c:pt>
              </c:numCache>
            </c:numRef>
          </c:val>
          <c:extLst>
            <c:ext xmlns:c16="http://schemas.microsoft.com/office/drawing/2014/chart" uri="{C3380CC4-5D6E-409C-BE32-E72D297353CC}">
              <c16:uniqueId val="{00000001-B4F8-4CBA-88AE-3EC77DC3AE01}"/>
            </c:ext>
          </c:extLst>
        </c:ser>
        <c:ser>
          <c:idx val="2"/>
          <c:order val="2"/>
          <c:tx>
            <c:strRef>
              <c:f>'Total Phosphorus'!$W$28</c:f>
              <c:strCache>
                <c:ptCount val="1"/>
                <c:pt idx="0">
                  <c:v>Oct-18</c:v>
                </c:pt>
              </c:strCache>
            </c:strRef>
          </c:tx>
          <c:spPr>
            <a:solidFill>
              <a:srgbClr val="0070C0"/>
            </a:solidFill>
            <a:ln w="12700">
              <a:solidFill>
                <a:schemeClr val="tx1"/>
              </a:solidFill>
            </a:ln>
            <a:effectLst/>
          </c:spPr>
          <c:invertIfNegative val="0"/>
          <c:cat>
            <c:strRef>
              <c:f>'Total Phosphorus'!$T$29:$T$35</c:f>
              <c:strCache>
                <c:ptCount val="7"/>
                <c:pt idx="0">
                  <c:v>MO_LPPC US</c:v>
                </c:pt>
                <c:pt idx="1">
                  <c:v>MO_LPPC DS</c:v>
                </c:pt>
                <c:pt idx="2">
                  <c:v>MO_Craig</c:v>
                </c:pt>
                <c:pt idx="3">
                  <c:v>MO_ Dear US</c:v>
                </c:pt>
                <c:pt idx="4">
                  <c:v>MO_Dear DS</c:v>
                </c:pt>
                <c:pt idx="5">
                  <c:v>MO_Hardy</c:v>
                </c:pt>
                <c:pt idx="6">
                  <c:v>MO_Cascade</c:v>
                </c:pt>
              </c:strCache>
            </c:strRef>
          </c:cat>
          <c:val>
            <c:numRef>
              <c:f>'Total Phosphorus'!$W$29:$W$35</c:f>
              <c:numCache>
                <c:formatCode>General</c:formatCode>
                <c:ptCount val="7"/>
                <c:pt idx="0">
                  <c:v>0.08</c:v>
                </c:pt>
                <c:pt idx="1">
                  <c:v>1.7000000000000001E-2</c:v>
                </c:pt>
                <c:pt idx="2">
                  <c:v>8.1000000000000003E-2</c:v>
                </c:pt>
                <c:pt idx="3">
                  <c:v>7.9000000000000001E-2</c:v>
                </c:pt>
                <c:pt idx="4">
                  <c:v>0</c:v>
                </c:pt>
                <c:pt idx="5">
                  <c:v>7.8E-2</c:v>
                </c:pt>
                <c:pt idx="6">
                  <c:v>7.5999999999999998E-2</c:v>
                </c:pt>
              </c:numCache>
            </c:numRef>
          </c:val>
          <c:extLst>
            <c:ext xmlns:c16="http://schemas.microsoft.com/office/drawing/2014/chart" uri="{C3380CC4-5D6E-409C-BE32-E72D297353CC}">
              <c16:uniqueId val="{00000002-B4F8-4CBA-88AE-3EC77DC3AE01}"/>
            </c:ext>
          </c:extLst>
        </c:ser>
        <c:ser>
          <c:idx val="4"/>
          <c:order val="4"/>
          <c:tx>
            <c:strRef>
              <c:f>'Total Phosphorus'!$X$28</c:f>
              <c:strCache>
                <c:ptCount val="1"/>
                <c:pt idx="0">
                  <c:v>Oct-19</c:v>
                </c:pt>
              </c:strCache>
            </c:strRef>
          </c:tx>
          <c:spPr>
            <a:pattFill prst="pct80">
              <a:fgClr>
                <a:srgbClr val="0070C0"/>
              </a:fgClr>
              <a:bgClr>
                <a:schemeClr val="bg1"/>
              </a:bgClr>
            </a:pattFill>
            <a:ln w="12700">
              <a:solidFill>
                <a:schemeClr val="tx1"/>
              </a:solidFill>
            </a:ln>
            <a:effectLst/>
          </c:spPr>
          <c:invertIfNegative val="0"/>
          <c:val>
            <c:numRef>
              <c:f>'Total Phosphorus'!$X$29:$X$35</c:f>
              <c:numCache>
                <c:formatCode>General</c:formatCode>
                <c:ptCount val="7"/>
                <c:pt idx="0">
                  <c:v>0.06</c:v>
                </c:pt>
                <c:pt idx="1">
                  <c:v>3.3000000000000002E-2</c:v>
                </c:pt>
                <c:pt idx="2">
                  <c:v>5.6000000000000001E-2</c:v>
                </c:pt>
                <c:pt idx="3">
                  <c:v>5.0999999999999997E-2</c:v>
                </c:pt>
                <c:pt idx="4">
                  <c:v>4.0000000000000001E-3</c:v>
                </c:pt>
                <c:pt idx="5">
                  <c:v>4.4999999999999998E-2</c:v>
                </c:pt>
                <c:pt idx="6">
                  <c:v>3.7999999999999999E-2</c:v>
                </c:pt>
              </c:numCache>
            </c:numRef>
          </c:val>
          <c:extLst>
            <c:ext xmlns:c16="http://schemas.microsoft.com/office/drawing/2014/chart" uri="{C3380CC4-5D6E-409C-BE32-E72D297353CC}">
              <c16:uniqueId val="{00000003-B4F8-4CBA-88AE-3EC77DC3AE01}"/>
            </c:ext>
          </c:extLst>
        </c:ser>
        <c:dLbls>
          <c:showLegendKey val="0"/>
          <c:showVal val="0"/>
          <c:showCatName val="0"/>
          <c:showSerName val="0"/>
          <c:showPercent val="0"/>
          <c:showBubbleSize val="0"/>
        </c:dLbls>
        <c:gapWidth val="219"/>
        <c:axId val="621155016"/>
        <c:axId val="621155672"/>
      </c:barChart>
      <c:lineChart>
        <c:grouping val="standard"/>
        <c:varyColors val="0"/>
        <c:ser>
          <c:idx val="3"/>
          <c:order val="3"/>
          <c:tx>
            <c:strRef>
              <c:f>'Total Phosphorus'!$Y$28</c:f>
              <c:strCache>
                <c:ptCount val="1"/>
                <c:pt idx="0">
                  <c:v>DEQ Nutrient Standard </c:v>
                </c:pt>
              </c:strCache>
            </c:strRef>
          </c:tx>
          <c:spPr>
            <a:ln w="19050" cap="rnd">
              <a:solidFill>
                <a:srgbClr val="FF0000"/>
              </a:solidFill>
              <a:round/>
            </a:ln>
            <a:effectLst/>
          </c:spPr>
          <c:marker>
            <c:symbol val="none"/>
          </c:marker>
          <c:val>
            <c:numRef>
              <c:f>'Total Phosphorus'!$Y$29:$Y$35</c:f>
              <c:numCache>
                <c:formatCode>General</c:formatCode>
                <c:ptCount val="7"/>
                <c:pt idx="0">
                  <c:v>0.03</c:v>
                </c:pt>
                <c:pt idx="1">
                  <c:v>0.03</c:v>
                </c:pt>
                <c:pt idx="2">
                  <c:v>0.03</c:v>
                </c:pt>
                <c:pt idx="3">
                  <c:v>0.03</c:v>
                </c:pt>
                <c:pt idx="4">
                  <c:v>0.03</c:v>
                </c:pt>
                <c:pt idx="5">
                  <c:v>0.03</c:v>
                </c:pt>
                <c:pt idx="6">
                  <c:v>0.03</c:v>
                </c:pt>
              </c:numCache>
            </c:numRef>
          </c:val>
          <c:smooth val="0"/>
          <c:extLst>
            <c:ext xmlns:c16="http://schemas.microsoft.com/office/drawing/2014/chart" uri="{C3380CC4-5D6E-409C-BE32-E72D297353CC}">
              <c16:uniqueId val="{00000004-B4F8-4CBA-88AE-3EC77DC3AE01}"/>
            </c:ext>
          </c:extLst>
        </c:ser>
        <c:dLbls>
          <c:showLegendKey val="0"/>
          <c:showVal val="0"/>
          <c:showCatName val="0"/>
          <c:showSerName val="0"/>
          <c:showPercent val="0"/>
          <c:showBubbleSize val="0"/>
        </c:dLbls>
        <c:marker val="1"/>
        <c:smooth val="0"/>
        <c:axId val="621155016"/>
        <c:axId val="621155672"/>
      </c:lineChart>
      <c:catAx>
        <c:axId val="621155016"/>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crossAx val="621155672"/>
        <c:crosses val="autoZero"/>
        <c:auto val="1"/>
        <c:lblAlgn val="ctr"/>
        <c:lblOffset val="100"/>
        <c:noMultiLvlLbl val="0"/>
      </c:catAx>
      <c:valAx>
        <c:axId val="621155672"/>
        <c:scaling>
          <c:orientation val="minMax"/>
          <c:max val="0.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mn-lt"/>
                    <a:ea typeface="+mn-ea"/>
                    <a:cs typeface="+mn-cs"/>
                  </a:defRPr>
                </a:pPr>
                <a:r>
                  <a:rPr lang="en-US" sz="1200" b="1" i="0" u="none" strike="noStrike" baseline="0">
                    <a:solidFill>
                      <a:schemeClr val="tx1"/>
                    </a:solidFill>
                    <a:effectLst/>
                  </a:rPr>
                  <a:t>Total Phoshorus (mg/L</a:t>
                </a:r>
                <a:endParaRPr lang="en-US" sz="1200">
                  <a:solidFill>
                    <a:schemeClr val="tx1"/>
                  </a:solidFill>
                </a:endParaRPr>
              </a:p>
            </c:rich>
          </c:tx>
          <c:layout>
            <c:manualLayout>
              <c:xMode val="edge"/>
              <c:yMode val="edge"/>
              <c:x val="8.3883967008927442E-3"/>
              <c:y val="0.17763481457562283"/>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crossAx val="621155016"/>
        <c:crosses val="autoZero"/>
        <c:crossBetween val="between"/>
      </c:valAx>
      <c:spPr>
        <a:noFill/>
        <a:ln>
          <a:solidFill>
            <a:schemeClr val="tx1"/>
          </a:solidFill>
        </a:ln>
        <a:effectLst/>
      </c:spPr>
    </c:plotArea>
    <c:legend>
      <c:legendPos val="b"/>
      <c:layout>
        <c:manualLayout>
          <c:xMode val="edge"/>
          <c:yMode val="edge"/>
          <c:x val="0.12508592786325734"/>
          <c:y val="8.6840870554897448E-2"/>
          <c:w val="0.84277491815289873"/>
          <c:h val="0.12232560835258369"/>
        </c:manualLayout>
      </c:layout>
      <c:overlay val="0"/>
      <c:spPr>
        <a:solidFill>
          <a:schemeClr val="bg1"/>
        </a:solidFill>
        <a:ln>
          <a:solidFill>
            <a:schemeClr val="tx1"/>
          </a:solidFill>
        </a:ln>
        <a:effectLst/>
      </c:spPr>
      <c:txPr>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en-US" sz="1400" b="1" i="0" baseline="0">
                <a:solidFill>
                  <a:schemeClr val="tx1"/>
                </a:solidFill>
                <a:effectLst/>
              </a:rPr>
              <a:t>TP at UMOWA Sites Fall 2019</a:t>
            </a:r>
            <a:endParaRPr lang="en-US" sz="1400">
              <a:solidFill>
                <a:schemeClr val="tx1"/>
              </a:solidFill>
              <a:effectLst/>
            </a:endParaRPr>
          </a:p>
        </c:rich>
      </c:tx>
      <c:layout>
        <c:manualLayout>
          <c:xMode val="edge"/>
          <c:yMode val="edge"/>
          <c:x val="0.26783609648320378"/>
          <c:y val="1.3888846418469537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n-US"/>
        </a:p>
      </c:txPr>
    </c:title>
    <c:autoTitleDeleted val="0"/>
    <c:plotArea>
      <c:layout>
        <c:manualLayout>
          <c:layoutTarget val="inner"/>
          <c:xMode val="edge"/>
          <c:yMode val="edge"/>
          <c:x val="0.14626618547681539"/>
          <c:y val="0.13461832895888015"/>
          <c:w val="0.80913926599167807"/>
          <c:h val="0.58641550014581512"/>
        </c:manualLayout>
      </c:layout>
      <c:barChart>
        <c:barDir val="col"/>
        <c:grouping val="clustered"/>
        <c:varyColors val="0"/>
        <c:ser>
          <c:idx val="0"/>
          <c:order val="0"/>
          <c:tx>
            <c:strRef>
              <c:f>'Total Phosphorus'!$U$16</c:f>
              <c:strCache>
                <c:ptCount val="1"/>
                <c:pt idx="0">
                  <c:v>Total Phosphorus</c:v>
                </c:pt>
              </c:strCache>
            </c:strRef>
          </c:tx>
          <c:spPr>
            <a:solidFill>
              <a:srgbClr val="0070C0"/>
            </a:solidFill>
            <a:ln w="12700">
              <a:solidFill>
                <a:schemeClr val="tx1"/>
              </a:solidFill>
            </a:ln>
            <a:effectLst/>
          </c:spPr>
          <c:invertIfNegative val="0"/>
          <c:dPt>
            <c:idx val="5"/>
            <c:invertIfNegative val="0"/>
            <c:bubble3D val="0"/>
            <c:spPr>
              <a:solidFill>
                <a:srgbClr val="0070C0"/>
              </a:solidFill>
              <a:ln w="12700">
                <a:solidFill>
                  <a:schemeClr val="tx1"/>
                </a:solidFill>
              </a:ln>
              <a:effectLst/>
            </c:spPr>
            <c:extLst>
              <c:ext xmlns:c16="http://schemas.microsoft.com/office/drawing/2014/chart" uri="{C3380CC4-5D6E-409C-BE32-E72D297353CC}">
                <c16:uniqueId val="{00000001-330F-4222-A663-F08940D8BDFC}"/>
              </c:ext>
            </c:extLst>
          </c:dPt>
          <c:trendline>
            <c:spPr>
              <a:ln w="19050" cap="rnd">
                <a:solidFill>
                  <a:schemeClr val="accent1"/>
                </a:solidFill>
                <a:prstDash val="sysDot"/>
              </a:ln>
              <a:effectLst/>
            </c:spPr>
            <c:trendlineType val="linear"/>
            <c:dispRSqr val="0"/>
            <c:dispEq val="0"/>
          </c:trendline>
          <c:cat>
            <c:strRef>
              <c:f>'Total Phosphorus'!$T$17:$T$23</c:f>
              <c:strCache>
                <c:ptCount val="7"/>
                <c:pt idx="0">
                  <c:v>MO_LPPC US</c:v>
                </c:pt>
                <c:pt idx="1">
                  <c:v>MO_LPPC DS</c:v>
                </c:pt>
                <c:pt idx="2">
                  <c:v>MO_Craig</c:v>
                </c:pt>
                <c:pt idx="3">
                  <c:v>MO_ Dear US</c:v>
                </c:pt>
                <c:pt idx="4">
                  <c:v>MO_Dear DS</c:v>
                </c:pt>
                <c:pt idx="5">
                  <c:v>MO_Hardy</c:v>
                </c:pt>
                <c:pt idx="6">
                  <c:v>MO_Cascade</c:v>
                </c:pt>
              </c:strCache>
            </c:strRef>
          </c:cat>
          <c:val>
            <c:numRef>
              <c:f>'Total Phosphorus'!$U$17:$U$23</c:f>
              <c:numCache>
                <c:formatCode>General</c:formatCode>
                <c:ptCount val="7"/>
                <c:pt idx="0">
                  <c:v>0.06</c:v>
                </c:pt>
                <c:pt idx="1">
                  <c:v>3.3000000000000002E-2</c:v>
                </c:pt>
                <c:pt idx="2">
                  <c:v>5.6000000000000001E-2</c:v>
                </c:pt>
                <c:pt idx="3">
                  <c:v>5.0999999999999997E-2</c:v>
                </c:pt>
                <c:pt idx="4">
                  <c:v>4.0000000000000001E-3</c:v>
                </c:pt>
                <c:pt idx="5">
                  <c:v>4.4999999999999998E-2</c:v>
                </c:pt>
                <c:pt idx="6">
                  <c:v>3.7999999999999999E-2</c:v>
                </c:pt>
              </c:numCache>
            </c:numRef>
          </c:val>
          <c:extLst>
            <c:ext xmlns:c16="http://schemas.microsoft.com/office/drawing/2014/chart" uri="{C3380CC4-5D6E-409C-BE32-E72D297353CC}">
              <c16:uniqueId val="{00000002-330F-4222-A663-F08940D8BDFC}"/>
            </c:ext>
          </c:extLst>
        </c:ser>
        <c:dLbls>
          <c:showLegendKey val="0"/>
          <c:showVal val="0"/>
          <c:showCatName val="0"/>
          <c:showSerName val="0"/>
          <c:showPercent val="0"/>
          <c:showBubbleSize val="0"/>
        </c:dLbls>
        <c:gapWidth val="219"/>
        <c:axId val="625668328"/>
        <c:axId val="625669640"/>
      </c:barChart>
      <c:lineChart>
        <c:grouping val="standard"/>
        <c:varyColors val="0"/>
        <c:ser>
          <c:idx val="1"/>
          <c:order val="1"/>
          <c:tx>
            <c:strRef>
              <c:f>'Total Phosphorus'!$V$16</c:f>
              <c:strCache>
                <c:ptCount val="1"/>
                <c:pt idx="0">
                  <c:v>DEQ Numeric Nutrient Standard </c:v>
                </c:pt>
              </c:strCache>
            </c:strRef>
          </c:tx>
          <c:spPr>
            <a:ln w="28575" cap="rnd">
              <a:solidFill>
                <a:schemeClr val="accent2"/>
              </a:solidFill>
              <a:round/>
            </a:ln>
            <a:effectLst/>
          </c:spPr>
          <c:marker>
            <c:symbol val="none"/>
          </c:marker>
          <c:dPt>
            <c:idx val="7"/>
            <c:marker>
              <c:symbol val="none"/>
            </c:marker>
            <c:bubble3D val="0"/>
            <c:spPr>
              <a:ln w="28575" cap="rnd">
                <a:noFill/>
                <a:round/>
              </a:ln>
              <a:effectLst/>
            </c:spPr>
            <c:extLst>
              <c:ext xmlns:c16="http://schemas.microsoft.com/office/drawing/2014/chart" uri="{C3380CC4-5D6E-409C-BE32-E72D297353CC}">
                <c16:uniqueId val="{00000004-330F-4222-A663-F08940D8BDFC}"/>
              </c:ext>
            </c:extLst>
          </c:dPt>
          <c:cat>
            <c:strRef>
              <c:f>'Total Phosphorus'!$T$17:$T$23</c:f>
              <c:strCache>
                <c:ptCount val="7"/>
                <c:pt idx="0">
                  <c:v>MO_LPPC US</c:v>
                </c:pt>
                <c:pt idx="1">
                  <c:v>MO_LPPC DS</c:v>
                </c:pt>
                <c:pt idx="2">
                  <c:v>MO_Craig</c:v>
                </c:pt>
                <c:pt idx="3">
                  <c:v>MO_ Dear US</c:v>
                </c:pt>
                <c:pt idx="4">
                  <c:v>MO_Dear DS</c:v>
                </c:pt>
                <c:pt idx="5">
                  <c:v>MO_Hardy</c:v>
                </c:pt>
                <c:pt idx="6">
                  <c:v>MO_Cascade</c:v>
                </c:pt>
              </c:strCache>
            </c:strRef>
          </c:cat>
          <c:val>
            <c:numRef>
              <c:f>'Total Phosphorus'!$V$17:$V$23</c:f>
              <c:numCache>
                <c:formatCode>General</c:formatCode>
                <c:ptCount val="7"/>
                <c:pt idx="0">
                  <c:v>0.03</c:v>
                </c:pt>
                <c:pt idx="1">
                  <c:v>0.03</c:v>
                </c:pt>
                <c:pt idx="2">
                  <c:v>0.03</c:v>
                </c:pt>
                <c:pt idx="3">
                  <c:v>0.03</c:v>
                </c:pt>
                <c:pt idx="4">
                  <c:v>0.03</c:v>
                </c:pt>
                <c:pt idx="5">
                  <c:v>0.03</c:v>
                </c:pt>
                <c:pt idx="6">
                  <c:v>0.03</c:v>
                </c:pt>
              </c:numCache>
            </c:numRef>
          </c:val>
          <c:smooth val="0"/>
          <c:extLst>
            <c:ext xmlns:c16="http://schemas.microsoft.com/office/drawing/2014/chart" uri="{C3380CC4-5D6E-409C-BE32-E72D297353CC}">
              <c16:uniqueId val="{00000005-330F-4222-A663-F08940D8BDFC}"/>
            </c:ext>
          </c:extLst>
        </c:ser>
        <c:dLbls>
          <c:showLegendKey val="0"/>
          <c:showVal val="0"/>
          <c:showCatName val="0"/>
          <c:showSerName val="0"/>
          <c:showPercent val="0"/>
          <c:showBubbleSize val="0"/>
        </c:dLbls>
        <c:marker val="1"/>
        <c:smooth val="0"/>
        <c:axId val="625668328"/>
        <c:axId val="625669640"/>
      </c:lineChart>
      <c:catAx>
        <c:axId val="625668328"/>
        <c:scaling>
          <c:orientation val="minMax"/>
        </c:scaling>
        <c:delete val="0"/>
        <c:axPos val="b"/>
        <c:numFmt formatCode="General" sourceLinked="1"/>
        <c:majorTickMark val="none"/>
        <c:minorTickMark val="none"/>
        <c:tickLblPos val="nextTo"/>
        <c:spPr>
          <a:noFill/>
          <a:ln w="12700" cap="flat" cmpd="sng" algn="ctr">
            <a:solidFill>
              <a:schemeClr val="tx1"/>
            </a:solidFill>
            <a:round/>
          </a:ln>
          <a:effectLst/>
        </c:spPr>
        <c:txPr>
          <a:bodyPr rot="-3240000" spcFirstLastPara="1" vertOverflow="ellipsis" wrap="square" anchor="ctr" anchorCtr="1"/>
          <a:lstStyle/>
          <a:p>
            <a:pPr>
              <a:defRPr sz="1000" b="1" i="0" u="none" strike="noStrike" kern="1200" baseline="0">
                <a:solidFill>
                  <a:schemeClr val="tx1"/>
                </a:solidFill>
                <a:latin typeface="+mn-lt"/>
                <a:ea typeface="+mn-ea"/>
                <a:cs typeface="+mn-cs"/>
              </a:defRPr>
            </a:pPr>
            <a:endParaRPr lang="en-US"/>
          </a:p>
        </c:txPr>
        <c:crossAx val="625669640"/>
        <c:crosses val="autoZero"/>
        <c:auto val="1"/>
        <c:lblAlgn val="ctr"/>
        <c:lblOffset val="100"/>
        <c:noMultiLvlLbl val="0"/>
      </c:catAx>
      <c:valAx>
        <c:axId val="625669640"/>
        <c:scaling>
          <c:orientation val="minMax"/>
          <c:max val="7.0000000000000007E-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1" i="0" u="none" strike="noStrike" kern="1200" baseline="0">
                    <a:solidFill>
                      <a:schemeClr val="tx1"/>
                    </a:solidFill>
                    <a:latin typeface="+mn-lt"/>
                    <a:ea typeface="+mn-ea"/>
                    <a:cs typeface="+mn-cs"/>
                  </a:defRPr>
                </a:pPr>
                <a:r>
                  <a:rPr lang="en-US" sz="1100" b="1">
                    <a:solidFill>
                      <a:schemeClr val="tx1"/>
                    </a:solidFill>
                  </a:rPr>
                  <a:t>Total Phoshorus (mg/L)</a:t>
                </a:r>
              </a:p>
            </c:rich>
          </c:tx>
          <c:layout>
            <c:manualLayout>
              <c:xMode val="edge"/>
              <c:yMode val="edge"/>
              <c:x val="4.4398401657540325E-3"/>
              <c:y val="0.12532528433945758"/>
            </c:manualLayout>
          </c:layout>
          <c:overlay val="0"/>
          <c:spPr>
            <a:noFill/>
            <a:ln>
              <a:noFill/>
            </a:ln>
            <a:effectLst/>
          </c:spPr>
          <c:txPr>
            <a:bodyPr rot="-5400000" spcFirstLastPara="1" vertOverflow="ellipsis" vert="horz" wrap="square" anchor="ctr" anchorCtr="1"/>
            <a:lstStyle/>
            <a:p>
              <a:pPr>
                <a:defRPr sz="1100" b="1"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crossAx val="625668328"/>
        <c:crosses val="autoZero"/>
        <c:crossBetween val="between"/>
      </c:valAx>
      <c:spPr>
        <a:noFill/>
        <a:ln>
          <a:solidFill>
            <a:schemeClr val="bg1">
              <a:lumMod val="65000"/>
            </a:schemeClr>
          </a:solidFill>
        </a:ln>
        <a:effectLst/>
      </c:spPr>
    </c:plotArea>
    <c:legend>
      <c:legendPos val="t"/>
      <c:legendEntry>
        <c:idx val="0"/>
        <c:delete val="1"/>
      </c:legendEntry>
      <c:layout>
        <c:manualLayout>
          <c:xMode val="edge"/>
          <c:yMode val="edge"/>
          <c:x val="0.28155889984477978"/>
          <c:y val="0.13930569358441847"/>
          <c:w val="0.54091491968784955"/>
          <c:h val="7.8027673725250365E-2"/>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en-US" sz="1400" b="1" i="0" baseline="0">
                <a:solidFill>
                  <a:schemeClr val="tx1"/>
                </a:solidFill>
                <a:effectLst/>
              </a:rPr>
              <a:t>TSS at UMOWA Sites 2016-2019</a:t>
            </a:r>
            <a:endParaRPr lang="en-US" sz="1400">
              <a:solidFill>
                <a:schemeClr val="tx1"/>
              </a:solidFill>
              <a:effectLst/>
            </a:endParaRPr>
          </a:p>
        </c:rich>
      </c:tx>
      <c:layout>
        <c:manualLayout>
          <c:xMode val="edge"/>
          <c:yMode val="edge"/>
          <c:x val="0.19824326467893719"/>
          <c:y val="1.4712964158168751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n-US"/>
        </a:p>
      </c:txPr>
    </c:title>
    <c:autoTitleDeleted val="0"/>
    <c:plotArea>
      <c:layout>
        <c:manualLayout>
          <c:layoutTarget val="inner"/>
          <c:xMode val="edge"/>
          <c:yMode val="edge"/>
          <c:x val="0.14626618547681539"/>
          <c:y val="0.13461832895888015"/>
          <c:w val="0.80913926599167807"/>
          <c:h val="0.58641550014581512"/>
        </c:manualLayout>
      </c:layout>
      <c:barChart>
        <c:barDir val="col"/>
        <c:grouping val="clustered"/>
        <c:varyColors val="0"/>
        <c:ser>
          <c:idx val="0"/>
          <c:order val="0"/>
          <c:tx>
            <c:strRef>
              <c:f>Master!$Q$59</c:f>
              <c:strCache>
                <c:ptCount val="1"/>
                <c:pt idx="0">
                  <c:v>Apr-16</c:v>
                </c:pt>
              </c:strCache>
            </c:strRef>
          </c:tx>
          <c:spPr>
            <a:solidFill>
              <a:srgbClr val="00B050"/>
            </a:solidFill>
            <a:ln>
              <a:solidFill>
                <a:schemeClr val="tx1"/>
              </a:solidFill>
            </a:ln>
            <a:effectLst/>
          </c:spPr>
          <c:invertIfNegative val="0"/>
          <c:dPt>
            <c:idx val="5"/>
            <c:invertIfNegative val="0"/>
            <c:bubble3D val="0"/>
            <c:spPr>
              <a:solidFill>
                <a:srgbClr val="00B050"/>
              </a:solidFill>
              <a:ln w="19050">
                <a:solidFill>
                  <a:schemeClr val="tx1"/>
                </a:solidFill>
              </a:ln>
              <a:effectLst/>
            </c:spPr>
            <c:extLst>
              <c:ext xmlns:c16="http://schemas.microsoft.com/office/drawing/2014/chart" uri="{C3380CC4-5D6E-409C-BE32-E72D297353CC}">
                <c16:uniqueId val="{00000001-29F2-4C6B-B068-10376EBB10A8}"/>
              </c:ext>
            </c:extLst>
          </c:dPt>
          <c:cat>
            <c:strRef>
              <c:f>Master!$P$60:$P$66</c:f>
              <c:strCache>
                <c:ptCount val="7"/>
                <c:pt idx="0">
                  <c:v>MO_LPPC US</c:v>
                </c:pt>
                <c:pt idx="1">
                  <c:v>MO_LPPC DS</c:v>
                </c:pt>
                <c:pt idx="2">
                  <c:v>MO_Craig</c:v>
                </c:pt>
                <c:pt idx="3">
                  <c:v>MO_ Dear US</c:v>
                </c:pt>
                <c:pt idx="4">
                  <c:v>MO_Dear DS</c:v>
                </c:pt>
                <c:pt idx="5">
                  <c:v>MO_Hardy</c:v>
                </c:pt>
                <c:pt idx="6">
                  <c:v>MO_Cascade</c:v>
                </c:pt>
              </c:strCache>
            </c:strRef>
          </c:cat>
          <c:val>
            <c:numRef>
              <c:f>Master!$Q$60:$Q$66</c:f>
              <c:numCache>
                <c:formatCode>General</c:formatCode>
                <c:ptCount val="7"/>
                <c:pt idx="0">
                  <c:v>0</c:v>
                </c:pt>
                <c:pt idx="1">
                  <c:v>14</c:v>
                </c:pt>
                <c:pt idx="2">
                  <c:v>4</c:v>
                </c:pt>
                <c:pt idx="3">
                  <c:v>4</c:v>
                </c:pt>
                <c:pt idx="4">
                  <c:v>7</c:v>
                </c:pt>
                <c:pt idx="5">
                  <c:v>5</c:v>
                </c:pt>
                <c:pt idx="6">
                  <c:v>8</c:v>
                </c:pt>
              </c:numCache>
            </c:numRef>
          </c:val>
          <c:extLst>
            <c:ext xmlns:c16="http://schemas.microsoft.com/office/drawing/2014/chart" uri="{C3380CC4-5D6E-409C-BE32-E72D297353CC}">
              <c16:uniqueId val="{00000002-29F2-4C6B-B068-10376EBB10A8}"/>
            </c:ext>
          </c:extLst>
        </c:ser>
        <c:ser>
          <c:idx val="4"/>
          <c:order val="1"/>
          <c:tx>
            <c:strRef>
              <c:f>Master!$R$59</c:f>
              <c:strCache>
                <c:ptCount val="1"/>
                <c:pt idx="0">
                  <c:v>Jul-16</c:v>
                </c:pt>
              </c:strCache>
            </c:strRef>
          </c:tx>
          <c:spPr>
            <a:solidFill>
              <a:srgbClr val="C00000"/>
            </a:solidFill>
            <a:ln w="12700">
              <a:solidFill>
                <a:schemeClr val="tx1"/>
              </a:solidFill>
            </a:ln>
            <a:effectLst/>
          </c:spPr>
          <c:invertIfNegative val="0"/>
          <c:cat>
            <c:strRef>
              <c:f>Master!$P$60:$P$66</c:f>
              <c:strCache>
                <c:ptCount val="7"/>
                <c:pt idx="0">
                  <c:v>MO_LPPC US</c:v>
                </c:pt>
                <c:pt idx="1">
                  <c:v>MO_LPPC DS</c:v>
                </c:pt>
                <c:pt idx="2">
                  <c:v>MO_Craig</c:v>
                </c:pt>
                <c:pt idx="3">
                  <c:v>MO_ Dear US</c:v>
                </c:pt>
                <c:pt idx="4">
                  <c:v>MO_Dear DS</c:v>
                </c:pt>
                <c:pt idx="5">
                  <c:v>MO_Hardy</c:v>
                </c:pt>
                <c:pt idx="6">
                  <c:v>MO_Cascade</c:v>
                </c:pt>
              </c:strCache>
            </c:strRef>
          </c:cat>
          <c:val>
            <c:numRef>
              <c:f>Master!$R$60:$R$66</c:f>
              <c:numCache>
                <c:formatCode>General</c:formatCode>
                <c:ptCount val="7"/>
                <c:pt idx="0">
                  <c:v>0</c:v>
                </c:pt>
                <c:pt idx="1">
                  <c:v>0</c:v>
                </c:pt>
                <c:pt idx="2">
                  <c:v>0</c:v>
                </c:pt>
                <c:pt idx="3">
                  <c:v>0</c:v>
                </c:pt>
                <c:pt idx="4">
                  <c:v>0</c:v>
                </c:pt>
                <c:pt idx="5">
                  <c:v>0</c:v>
                </c:pt>
                <c:pt idx="6">
                  <c:v>5</c:v>
                </c:pt>
              </c:numCache>
            </c:numRef>
          </c:val>
          <c:extLst>
            <c:ext xmlns:c16="http://schemas.microsoft.com/office/drawing/2014/chart" uri="{C3380CC4-5D6E-409C-BE32-E72D297353CC}">
              <c16:uniqueId val="{00000003-29F2-4C6B-B068-10376EBB10A8}"/>
            </c:ext>
          </c:extLst>
        </c:ser>
        <c:ser>
          <c:idx val="3"/>
          <c:order val="2"/>
          <c:tx>
            <c:strRef>
              <c:f>Master!$S$59</c:f>
              <c:strCache>
                <c:ptCount val="1"/>
                <c:pt idx="0">
                  <c:v>Oct-16</c:v>
                </c:pt>
              </c:strCache>
            </c:strRef>
          </c:tx>
          <c:spPr>
            <a:solidFill>
              <a:schemeClr val="tx1"/>
            </a:solidFill>
            <a:ln w="12700">
              <a:solidFill>
                <a:sysClr val="windowText" lastClr="000000"/>
              </a:solidFill>
            </a:ln>
            <a:effectLst/>
          </c:spPr>
          <c:invertIfNegative val="0"/>
          <c:cat>
            <c:strRef>
              <c:f>Master!$P$60:$P$66</c:f>
              <c:strCache>
                <c:ptCount val="7"/>
                <c:pt idx="0">
                  <c:v>MO_LPPC US</c:v>
                </c:pt>
                <c:pt idx="1">
                  <c:v>MO_LPPC DS</c:v>
                </c:pt>
                <c:pt idx="2">
                  <c:v>MO_Craig</c:v>
                </c:pt>
                <c:pt idx="3">
                  <c:v>MO_ Dear US</c:v>
                </c:pt>
                <c:pt idx="4">
                  <c:v>MO_Dear DS</c:v>
                </c:pt>
                <c:pt idx="5">
                  <c:v>MO_Hardy</c:v>
                </c:pt>
                <c:pt idx="6">
                  <c:v>MO_Cascade</c:v>
                </c:pt>
              </c:strCache>
            </c:strRef>
          </c:cat>
          <c:val>
            <c:numRef>
              <c:f>Master!$S$60:$S$66</c:f>
              <c:numCache>
                <c:formatCode>General</c:formatCode>
                <c:ptCount val="7"/>
                <c:pt idx="0">
                  <c:v>0</c:v>
                </c:pt>
                <c:pt idx="1">
                  <c:v>0</c:v>
                </c:pt>
                <c:pt idx="2">
                  <c:v>0</c:v>
                </c:pt>
                <c:pt idx="3">
                  <c:v>0</c:v>
                </c:pt>
                <c:pt idx="4">
                  <c:v>0</c:v>
                </c:pt>
                <c:pt idx="5">
                  <c:v>0</c:v>
                </c:pt>
                <c:pt idx="6">
                  <c:v>0</c:v>
                </c:pt>
              </c:numCache>
            </c:numRef>
          </c:val>
          <c:extLst>
            <c:ext xmlns:c16="http://schemas.microsoft.com/office/drawing/2014/chart" uri="{C3380CC4-5D6E-409C-BE32-E72D297353CC}">
              <c16:uniqueId val="{00000004-29F2-4C6B-B068-10376EBB10A8}"/>
            </c:ext>
          </c:extLst>
        </c:ser>
        <c:ser>
          <c:idx val="1"/>
          <c:order val="3"/>
          <c:tx>
            <c:strRef>
              <c:f>Master!$T$59</c:f>
              <c:strCache>
                <c:ptCount val="1"/>
                <c:pt idx="0">
                  <c:v>Jul-17</c:v>
                </c:pt>
              </c:strCache>
            </c:strRef>
          </c:tx>
          <c:spPr>
            <a:solidFill>
              <a:srgbClr val="C00000"/>
            </a:solidFill>
            <a:ln>
              <a:solidFill>
                <a:schemeClr val="tx1"/>
              </a:solidFill>
            </a:ln>
            <a:effectLst/>
          </c:spPr>
          <c:invertIfNegative val="0"/>
          <c:dPt>
            <c:idx val="7"/>
            <c:invertIfNegative val="0"/>
            <c:bubble3D val="0"/>
            <c:spPr>
              <a:solidFill>
                <a:srgbClr val="C00000"/>
              </a:solidFill>
              <a:ln w="28575" cap="rnd">
                <a:solidFill>
                  <a:schemeClr val="tx1"/>
                </a:solidFill>
                <a:round/>
              </a:ln>
              <a:effectLst/>
            </c:spPr>
            <c:extLst>
              <c:ext xmlns:c16="http://schemas.microsoft.com/office/drawing/2014/chart" uri="{C3380CC4-5D6E-409C-BE32-E72D297353CC}">
                <c16:uniqueId val="{00000006-29F2-4C6B-B068-10376EBB10A8}"/>
              </c:ext>
            </c:extLst>
          </c:dPt>
          <c:cat>
            <c:strRef>
              <c:f>Master!$P$60:$P$66</c:f>
              <c:strCache>
                <c:ptCount val="7"/>
                <c:pt idx="0">
                  <c:v>MO_LPPC US</c:v>
                </c:pt>
                <c:pt idx="1">
                  <c:v>MO_LPPC DS</c:v>
                </c:pt>
                <c:pt idx="2">
                  <c:v>MO_Craig</c:v>
                </c:pt>
                <c:pt idx="3">
                  <c:v>MO_ Dear US</c:v>
                </c:pt>
                <c:pt idx="4">
                  <c:v>MO_Dear DS</c:v>
                </c:pt>
                <c:pt idx="5">
                  <c:v>MO_Hardy</c:v>
                </c:pt>
                <c:pt idx="6">
                  <c:v>MO_Cascade</c:v>
                </c:pt>
              </c:strCache>
            </c:strRef>
          </c:cat>
          <c:val>
            <c:numRef>
              <c:f>Master!$T$60:$T$66</c:f>
              <c:numCache>
                <c:formatCode>General</c:formatCode>
                <c:ptCount val="7"/>
                <c:pt idx="0">
                  <c:v>0</c:v>
                </c:pt>
                <c:pt idx="1">
                  <c:v>0</c:v>
                </c:pt>
                <c:pt idx="2">
                  <c:v>0</c:v>
                </c:pt>
                <c:pt idx="3">
                  <c:v>0</c:v>
                </c:pt>
                <c:pt idx="4">
                  <c:v>0</c:v>
                </c:pt>
                <c:pt idx="5">
                  <c:v>0</c:v>
                </c:pt>
                <c:pt idx="6">
                  <c:v>4</c:v>
                </c:pt>
              </c:numCache>
            </c:numRef>
          </c:val>
          <c:extLst>
            <c:ext xmlns:c16="http://schemas.microsoft.com/office/drawing/2014/chart" uri="{C3380CC4-5D6E-409C-BE32-E72D297353CC}">
              <c16:uniqueId val="{00000007-29F2-4C6B-B068-10376EBB10A8}"/>
            </c:ext>
          </c:extLst>
        </c:ser>
        <c:ser>
          <c:idx val="2"/>
          <c:order val="4"/>
          <c:tx>
            <c:strRef>
              <c:f>Master!$U$59</c:f>
              <c:strCache>
                <c:ptCount val="1"/>
                <c:pt idx="0">
                  <c:v>Oct-17</c:v>
                </c:pt>
              </c:strCache>
            </c:strRef>
          </c:tx>
          <c:spPr>
            <a:solidFill>
              <a:schemeClr val="accent3"/>
            </a:solidFill>
            <a:ln>
              <a:noFill/>
            </a:ln>
            <a:effectLst/>
          </c:spPr>
          <c:invertIfNegative val="0"/>
          <c:cat>
            <c:strRef>
              <c:f>Master!$P$60:$P$66</c:f>
              <c:strCache>
                <c:ptCount val="7"/>
                <c:pt idx="0">
                  <c:v>MO_LPPC US</c:v>
                </c:pt>
                <c:pt idx="1">
                  <c:v>MO_LPPC DS</c:v>
                </c:pt>
                <c:pt idx="2">
                  <c:v>MO_Craig</c:v>
                </c:pt>
                <c:pt idx="3">
                  <c:v>MO_ Dear US</c:v>
                </c:pt>
                <c:pt idx="4">
                  <c:v>MO_Dear DS</c:v>
                </c:pt>
                <c:pt idx="5">
                  <c:v>MO_Hardy</c:v>
                </c:pt>
                <c:pt idx="6">
                  <c:v>MO_Cascade</c:v>
                </c:pt>
              </c:strCache>
            </c:strRef>
          </c:cat>
          <c:val>
            <c:numRef>
              <c:f>Master!$U$60:$U$66</c:f>
              <c:numCache>
                <c:formatCode>General</c:formatCode>
                <c:ptCount val="7"/>
                <c:pt idx="0">
                  <c:v>0</c:v>
                </c:pt>
                <c:pt idx="1">
                  <c:v>0</c:v>
                </c:pt>
                <c:pt idx="2">
                  <c:v>0</c:v>
                </c:pt>
                <c:pt idx="3">
                  <c:v>0</c:v>
                </c:pt>
                <c:pt idx="4">
                  <c:v>0</c:v>
                </c:pt>
                <c:pt idx="5">
                  <c:v>0</c:v>
                </c:pt>
                <c:pt idx="6">
                  <c:v>0</c:v>
                </c:pt>
              </c:numCache>
            </c:numRef>
          </c:val>
          <c:extLst>
            <c:ext xmlns:c16="http://schemas.microsoft.com/office/drawing/2014/chart" uri="{C3380CC4-5D6E-409C-BE32-E72D297353CC}">
              <c16:uniqueId val="{00000008-29F2-4C6B-B068-10376EBB10A8}"/>
            </c:ext>
          </c:extLst>
        </c:ser>
        <c:ser>
          <c:idx val="5"/>
          <c:order val="5"/>
          <c:tx>
            <c:strRef>
              <c:f>Master!$V$59</c:f>
              <c:strCache>
                <c:ptCount val="1"/>
                <c:pt idx="0">
                  <c:v>Jun-18</c:v>
                </c:pt>
              </c:strCache>
            </c:strRef>
          </c:tx>
          <c:spPr>
            <a:solidFill>
              <a:schemeClr val="bg1">
                <a:lumMod val="65000"/>
              </a:schemeClr>
            </a:solidFill>
            <a:ln>
              <a:solidFill>
                <a:schemeClr val="tx1"/>
              </a:solidFill>
            </a:ln>
            <a:effectLst/>
          </c:spPr>
          <c:invertIfNegative val="0"/>
          <c:cat>
            <c:strRef>
              <c:f>Master!$P$60:$P$66</c:f>
              <c:strCache>
                <c:ptCount val="7"/>
                <c:pt idx="0">
                  <c:v>MO_LPPC US</c:v>
                </c:pt>
                <c:pt idx="1">
                  <c:v>MO_LPPC DS</c:v>
                </c:pt>
                <c:pt idx="2">
                  <c:v>MO_Craig</c:v>
                </c:pt>
                <c:pt idx="3">
                  <c:v>MO_ Dear US</c:v>
                </c:pt>
                <c:pt idx="4">
                  <c:v>MO_Dear DS</c:v>
                </c:pt>
                <c:pt idx="5">
                  <c:v>MO_Hardy</c:v>
                </c:pt>
                <c:pt idx="6">
                  <c:v>MO_Cascade</c:v>
                </c:pt>
              </c:strCache>
            </c:strRef>
          </c:cat>
          <c:val>
            <c:numRef>
              <c:f>Master!$V$60:$V$66</c:f>
              <c:numCache>
                <c:formatCode>General</c:formatCode>
                <c:ptCount val="7"/>
                <c:pt idx="0">
                  <c:v>6</c:v>
                </c:pt>
                <c:pt idx="1">
                  <c:v>2.4</c:v>
                </c:pt>
                <c:pt idx="2">
                  <c:v>10</c:v>
                </c:pt>
                <c:pt idx="3">
                  <c:v>6</c:v>
                </c:pt>
                <c:pt idx="4">
                  <c:v>6</c:v>
                </c:pt>
                <c:pt idx="5">
                  <c:v>7</c:v>
                </c:pt>
                <c:pt idx="6">
                  <c:v>9</c:v>
                </c:pt>
              </c:numCache>
            </c:numRef>
          </c:val>
          <c:extLst>
            <c:ext xmlns:c16="http://schemas.microsoft.com/office/drawing/2014/chart" uri="{C3380CC4-5D6E-409C-BE32-E72D297353CC}">
              <c16:uniqueId val="{00000009-29F2-4C6B-B068-10376EBB10A8}"/>
            </c:ext>
          </c:extLst>
        </c:ser>
        <c:ser>
          <c:idx val="6"/>
          <c:order val="6"/>
          <c:tx>
            <c:strRef>
              <c:f>Master!$W$59</c:f>
              <c:strCache>
                <c:ptCount val="1"/>
                <c:pt idx="0">
                  <c:v>Jul-18</c:v>
                </c:pt>
              </c:strCache>
            </c:strRef>
          </c:tx>
          <c:spPr>
            <a:solidFill>
              <a:srgbClr val="FFC000"/>
            </a:solidFill>
            <a:ln>
              <a:solidFill>
                <a:schemeClr val="tx1"/>
              </a:solidFill>
            </a:ln>
            <a:effectLst/>
          </c:spPr>
          <c:invertIfNegative val="0"/>
          <c:cat>
            <c:strRef>
              <c:f>Master!$P$60:$P$66</c:f>
              <c:strCache>
                <c:ptCount val="7"/>
                <c:pt idx="0">
                  <c:v>MO_LPPC US</c:v>
                </c:pt>
                <c:pt idx="1">
                  <c:v>MO_LPPC DS</c:v>
                </c:pt>
                <c:pt idx="2">
                  <c:v>MO_Craig</c:v>
                </c:pt>
                <c:pt idx="3">
                  <c:v>MO_ Dear US</c:v>
                </c:pt>
                <c:pt idx="4">
                  <c:v>MO_Dear DS</c:v>
                </c:pt>
                <c:pt idx="5">
                  <c:v>MO_Hardy</c:v>
                </c:pt>
                <c:pt idx="6">
                  <c:v>MO_Cascade</c:v>
                </c:pt>
              </c:strCache>
            </c:strRef>
          </c:cat>
          <c:val>
            <c:numRef>
              <c:f>Master!$W$60:$W$66</c:f>
              <c:numCache>
                <c:formatCode>General</c:formatCode>
                <c:ptCount val="7"/>
                <c:pt idx="0">
                  <c:v>1.2</c:v>
                </c:pt>
                <c:pt idx="1">
                  <c:v>2.8</c:v>
                </c:pt>
                <c:pt idx="2">
                  <c:v>1.6</c:v>
                </c:pt>
                <c:pt idx="3">
                  <c:v>1.6</c:v>
                </c:pt>
                <c:pt idx="4">
                  <c:v>0.8</c:v>
                </c:pt>
                <c:pt idx="5">
                  <c:v>1.2</c:v>
                </c:pt>
                <c:pt idx="6">
                  <c:v>4</c:v>
                </c:pt>
              </c:numCache>
            </c:numRef>
          </c:val>
          <c:extLst>
            <c:ext xmlns:c16="http://schemas.microsoft.com/office/drawing/2014/chart" uri="{C3380CC4-5D6E-409C-BE32-E72D297353CC}">
              <c16:uniqueId val="{0000000A-29F2-4C6B-B068-10376EBB10A8}"/>
            </c:ext>
          </c:extLst>
        </c:ser>
        <c:ser>
          <c:idx val="7"/>
          <c:order val="7"/>
          <c:tx>
            <c:strRef>
              <c:f>Master!$X$59</c:f>
              <c:strCache>
                <c:ptCount val="1"/>
                <c:pt idx="0">
                  <c:v>Oct-18</c:v>
                </c:pt>
              </c:strCache>
            </c:strRef>
          </c:tx>
          <c:spPr>
            <a:solidFill>
              <a:schemeClr val="accent1">
                <a:lumMod val="50000"/>
              </a:schemeClr>
            </a:solidFill>
            <a:ln>
              <a:solidFill>
                <a:schemeClr val="tx2"/>
              </a:solidFill>
            </a:ln>
            <a:effectLst/>
          </c:spPr>
          <c:invertIfNegative val="0"/>
          <c:cat>
            <c:strRef>
              <c:f>Master!$P$60:$P$66</c:f>
              <c:strCache>
                <c:ptCount val="7"/>
                <c:pt idx="0">
                  <c:v>MO_LPPC US</c:v>
                </c:pt>
                <c:pt idx="1">
                  <c:v>MO_LPPC DS</c:v>
                </c:pt>
                <c:pt idx="2">
                  <c:v>MO_Craig</c:v>
                </c:pt>
                <c:pt idx="3">
                  <c:v>MO_ Dear US</c:v>
                </c:pt>
                <c:pt idx="4">
                  <c:v>MO_Dear DS</c:v>
                </c:pt>
                <c:pt idx="5">
                  <c:v>MO_Hardy</c:v>
                </c:pt>
                <c:pt idx="6">
                  <c:v>MO_Cascade</c:v>
                </c:pt>
              </c:strCache>
            </c:strRef>
          </c:cat>
          <c:val>
            <c:numRef>
              <c:f>Master!$X$60:$X$66</c:f>
              <c:numCache>
                <c:formatCode>General</c:formatCode>
                <c:ptCount val="7"/>
                <c:pt idx="0">
                  <c:v>2.4</c:v>
                </c:pt>
                <c:pt idx="1">
                  <c:v>2.4</c:v>
                </c:pt>
                <c:pt idx="2">
                  <c:v>2.8</c:v>
                </c:pt>
                <c:pt idx="3">
                  <c:v>1.2</c:v>
                </c:pt>
                <c:pt idx="4">
                  <c:v>0.8</c:v>
                </c:pt>
                <c:pt idx="5">
                  <c:v>2</c:v>
                </c:pt>
                <c:pt idx="6">
                  <c:v>1.2</c:v>
                </c:pt>
              </c:numCache>
            </c:numRef>
          </c:val>
          <c:extLst>
            <c:ext xmlns:c16="http://schemas.microsoft.com/office/drawing/2014/chart" uri="{C3380CC4-5D6E-409C-BE32-E72D297353CC}">
              <c16:uniqueId val="{0000000B-29F2-4C6B-B068-10376EBB10A8}"/>
            </c:ext>
          </c:extLst>
        </c:ser>
        <c:ser>
          <c:idx val="8"/>
          <c:order val="8"/>
          <c:tx>
            <c:strRef>
              <c:f>Master!$Y$59</c:f>
              <c:strCache>
                <c:ptCount val="1"/>
                <c:pt idx="0">
                  <c:v>Oct-19</c:v>
                </c:pt>
              </c:strCache>
            </c:strRef>
          </c:tx>
          <c:spPr>
            <a:pattFill prst="pct80">
              <a:fgClr>
                <a:schemeClr val="accent1">
                  <a:lumMod val="50000"/>
                </a:schemeClr>
              </a:fgClr>
              <a:bgClr>
                <a:schemeClr val="bg1"/>
              </a:bgClr>
            </a:pattFill>
            <a:ln>
              <a:solidFill>
                <a:schemeClr val="tx1"/>
              </a:solidFill>
            </a:ln>
            <a:effectLst/>
          </c:spPr>
          <c:invertIfNegative val="0"/>
          <c:cat>
            <c:strRef>
              <c:f>Master!$P$60:$P$66</c:f>
              <c:strCache>
                <c:ptCount val="7"/>
                <c:pt idx="0">
                  <c:v>MO_LPPC US</c:v>
                </c:pt>
                <c:pt idx="1">
                  <c:v>MO_LPPC DS</c:v>
                </c:pt>
                <c:pt idx="2">
                  <c:v>MO_Craig</c:v>
                </c:pt>
                <c:pt idx="3">
                  <c:v>MO_ Dear US</c:v>
                </c:pt>
                <c:pt idx="4">
                  <c:v>MO_Dear DS</c:v>
                </c:pt>
                <c:pt idx="5">
                  <c:v>MO_Hardy</c:v>
                </c:pt>
                <c:pt idx="6">
                  <c:v>MO_Cascade</c:v>
                </c:pt>
              </c:strCache>
            </c:strRef>
          </c:cat>
          <c:val>
            <c:numRef>
              <c:f>Master!$Y$60:$Y$66</c:f>
              <c:numCache>
                <c:formatCode>General</c:formatCode>
                <c:ptCount val="7"/>
                <c:pt idx="0">
                  <c:v>2.8</c:v>
                </c:pt>
                <c:pt idx="1">
                  <c:v>1.6</c:v>
                </c:pt>
                <c:pt idx="2">
                  <c:v>2</c:v>
                </c:pt>
                <c:pt idx="3">
                  <c:v>0.8</c:v>
                </c:pt>
                <c:pt idx="4">
                  <c:v>1.2</c:v>
                </c:pt>
                <c:pt idx="5">
                  <c:v>0.8</c:v>
                </c:pt>
                <c:pt idx="6">
                  <c:v>1.2</c:v>
                </c:pt>
              </c:numCache>
            </c:numRef>
          </c:val>
          <c:extLst>
            <c:ext xmlns:c16="http://schemas.microsoft.com/office/drawing/2014/chart" uri="{C3380CC4-5D6E-409C-BE32-E72D297353CC}">
              <c16:uniqueId val="{0000000C-29F2-4C6B-B068-10376EBB10A8}"/>
            </c:ext>
          </c:extLst>
        </c:ser>
        <c:dLbls>
          <c:showLegendKey val="0"/>
          <c:showVal val="0"/>
          <c:showCatName val="0"/>
          <c:showSerName val="0"/>
          <c:showPercent val="0"/>
          <c:showBubbleSize val="0"/>
        </c:dLbls>
        <c:gapWidth val="219"/>
        <c:axId val="625668328"/>
        <c:axId val="625669640"/>
        <c:extLst/>
      </c:barChart>
      <c:catAx>
        <c:axId val="625668328"/>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3240000" spcFirstLastPara="1" vertOverflow="ellipsis" wrap="square" anchor="ctr" anchorCtr="1"/>
          <a:lstStyle/>
          <a:p>
            <a:pPr>
              <a:defRPr sz="1000" b="1" i="0" u="none" strike="noStrike" kern="1200" baseline="0">
                <a:solidFill>
                  <a:schemeClr val="tx1"/>
                </a:solidFill>
                <a:latin typeface="+mn-lt"/>
                <a:ea typeface="+mn-ea"/>
                <a:cs typeface="+mn-cs"/>
              </a:defRPr>
            </a:pPr>
            <a:endParaRPr lang="en-US"/>
          </a:p>
        </c:txPr>
        <c:crossAx val="625669640"/>
        <c:crosses val="autoZero"/>
        <c:auto val="1"/>
        <c:lblAlgn val="ctr"/>
        <c:lblOffset val="100"/>
        <c:noMultiLvlLbl val="0"/>
      </c:catAx>
      <c:valAx>
        <c:axId val="625669640"/>
        <c:scaling>
          <c:orientation val="minMax"/>
          <c:max val="15"/>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sz="1050" b="1">
                    <a:solidFill>
                      <a:schemeClr val="tx1"/>
                    </a:solidFill>
                  </a:rPr>
                  <a:t>Total Suspended</a:t>
                </a:r>
                <a:r>
                  <a:rPr lang="en-US" sz="1050" b="1" baseline="0">
                    <a:solidFill>
                      <a:schemeClr val="tx1"/>
                    </a:solidFill>
                  </a:rPr>
                  <a:t> Solids</a:t>
                </a:r>
                <a:r>
                  <a:rPr lang="en-US" sz="1050" b="1">
                    <a:solidFill>
                      <a:schemeClr val="tx1"/>
                    </a:solidFill>
                  </a:rPr>
                  <a:t> (mg/L)</a:t>
                </a:r>
              </a:p>
            </c:rich>
          </c:tx>
          <c:layout>
            <c:manualLayout>
              <c:xMode val="edge"/>
              <c:yMode val="edge"/>
              <c:x val="3.8246976699517328E-2"/>
              <c:y val="9.7600275375414144E-2"/>
            </c:manualLayout>
          </c:layout>
          <c:overlay val="0"/>
          <c:spPr>
            <a:noFill/>
            <a:ln>
              <a:noFill/>
            </a:ln>
            <a:effectLst/>
          </c:spPr>
          <c:txPr>
            <a:bodyPr rot="-540000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crossAx val="625668328"/>
        <c:crosses val="autoZero"/>
        <c:crossBetween val="between"/>
      </c:valAx>
      <c:spPr>
        <a:noFill/>
        <a:ln>
          <a:solidFill>
            <a:schemeClr val="bg1">
              <a:lumMod val="65000"/>
            </a:schemeClr>
          </a:solidFill>
        </a:ln>
        <a:effectLst/>
      </c:spPr>
    </c:plotArea>
    <c:legend>
      <c:legendPos val="t"/>
      <c:layout>
        <c:manualLayout>
          <c:xMode val="edge"/>
          <c:yMode val="edge"/>
          <c:x val="0.46456192324674128"/>
          <c:y val="0.14493311063389805"/>
          <c:w val="0.43471134768577929"/>
          <c:h val="0.21301087364079491"/>
        </c:manualLayout>
      </c:layout>
      <c:overlay val="0"/>
      <c:spPr>
        <a:solidFill>
          <a:schemeClr val="bg1"/>
        </a:solidFill>
        <a:ln>
          <a:solidFill>
            <a:schemeClr val="tx1"/>
          </a:solidFill>
        </a:ln>
        <a:effectLst/>
      </c:spPr>
      <c:txPr>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CAF69A2F861DA4E9DC3316F848EF497"/>
        <w:category>
          <w:name w:val="General"/>
          <w:gallery w:val="placeholder"/>
        </w:category>
        <w:types>
          <w:type w:val="bbPlcHdr"/>
        </w:types>
        <w:behaviors>
          <w:behavior w:val="content"/>
        </w:behaviors>
        <w:guid w:val="{9FF881F9-5AD9-5945-95AA-4C7A5A22437E}"/>
      </w:docPartPr>
      <w:docPartBody>
        <w:p w:rsidR="004F2E96" w:rsidRDefault="004F2E96" w:rsidP="004F2E96">
          <w:pPr>
            <w:pStyle w:val="FCAF69A2F861DA4E9DC3316F848EF497"/>
          </w:pPr>
          <w:r>
            <w:t>[Type text]</w:t>
          </w:r>
        </w:p>
      </w:docPartBody>
    </w:docPart>
    <w:docPart>
      <w:docPartPr>
        <w:name w:val="3A775AA4D2989B4AAED4C939253F8BD2"/>
        <w:category>
          <w:name w:val="General"/>
          <w:gallery w:val="placeholder"/>
        </w:category>
        <w:types>
          <w:type w:val="bbPlcHdr"/>
        </w:types>
        <w:behaviors>
          <w:behavior w:val="content"/>
        </w:behaviors>
        <w:guid w:val="{95C6A39C-8885-C743-BC1B-9685FB86E205}"/>
      </w:docPartPr>
      <w:docPartBody>
        <w:p w:rsidR="004F2E96" w:rsidRDefault="004F2E96" w:rsidP="004F2E96">
          <w:pPr>
            <w:pStyle w:val="3A775AA4D2989B4AAED4C939253F8BD2"/>
          </w:pPr>
          <w:r>
            <w:t>[Type text]</w:t>
          </w:r>
        </w:p>
      </w:docPartBody>
    </w:docPart>
    <w:docPart>
      <w:docPartPr>
        <w:name w:val="1C13F3C5543FAD45BC5E81708C7F1D50"/>
        <w:category>
          <w:name w:val="General"/>
          <w:gallery w:val="placeholder"/>
        </w:category>
        <w:types>
          <w:type w:val="bbPlcHdr"/>
        </w:types>
        <w:behaviors>
          <w:behavior w:val="content"/>
        </w:behaviors>
        <w:guid w:val="{11D17088-954F-484E-A1F0-89A09875CC14}"/>
      </w:docPartPr>
      <w:docPartBody>
        <w:p w:rsidR="004F2E96" w:rsidRDefault="004F2E96" w:rsidP="004F2E96">
          <w:pPr>
            <w:pStyle w:val="1C13F3C5543FAD45BC5E81708C7F1D50"/>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F2E96"/>
    <w:rsid w:val="00163D58"/>
    <w:rsid w:val="00173597"/>
    <w:rsid w:val="0025208D"/>
    <w:rsid w:val="0038291A"/>
    <w:rsid w:val="003F0C21"/>
    <w:rsid w:val="004F2E96"/>
    <w:rsid w:val="009C42C2"/>
    <w:rsid w:val="00A0698D"/>
    <w:rsid w:val="00EA3B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CAF69A2F861DA4E9DC3316F848EF497">
    <w:name w:val="FCAF69A2F861DA4E9DC3316F848EF497"/>
    <w:rsid w:val="004F2E96"/>
  </w:style>
  <w:style w:type="paragraph" w:customStyle="1" w:styleId="3A775AA4D2989B4AAED4C939253F8BD2">
    <w:name w:val="3A775AA4D2989B4AAED4C939253F8BD2"/>
    <w:rsid w:val="004F2E96"/>
  </w:style>
  <w:style w:type="paragraph" w:customStyle="1" w:styleId="1C13F3C5543FAD45BC5E81708C7F1D50">
    <w:name w:val="1C13F3C5543FAD45BC5E81708C7F1D50"/>
    <w:rsid w:val="004F2E96"/>
  </w:style>
  <w:style w:type="paragraph" w:customStyle="1" w:styleId="696AC84A48E42C4B90B67EFD1F2661B8">
    <w:name w:val="696AC84A48E42C4B90B67EFD1F2661B8"/>
    <w:rsid w:val="004F2E96"/>
  </w:style>
  <w:style w:type="paragraph" w:customStyle="1" w:styleId="D89139A9ADCCED428CE2D0634439B0B4">
    <w:name w:val="D89139A9ADCCED428CE2D0634439B0B4"/>
    <w:rsid w:val="004F2E96"/>
  </w:style>
  <w:style w:type="paragraph" w:customStyle="1" w:styleId="5743D75A127AF44194A2EC9564945796">
    <w:name w:val="5743D75A127AF44194A2EC9564945796"/>
    <w:rsid w:val="004F2E96"/>
  </w:style>
  <w:style w:type="paragraph" w:customStyle="1" w:styleId="CAB3144109B1D34E967509DFFF815159">
    <w:name w:val="CAB3144109B1D34E967509DFFF815159"/>
    <w:rsid w:val="004F2E96"/>
  </w:style>
  <w:style w:type="paragraph" w:customStyle="1" w:styleId="AA5680FA6CAD1B468D9859DE5953760E">
    <w:name w:val="AA5680FA6CAD1B468D9859DE5953760E"/>
    <w:rsid w:val="004F2E96"/>
  </w:style>
  <w:style w:type="paragraph" w:customStyle="1" w:styleId="EEC1F2D50504AB47AACC07EC64F059ED">
    <w:name w:val="EEC1F2D50504AB47AACC07EC64F059ED"/>
    <w:rsid w:val="004F2E96"/>
  </w:style>
  <w:style w:type="paragraph" w:customStyle="1" w:styleId="DF2E6BF415D08541941AB1AB341C87BB">
    <w:name w:val="DF2E6BF415D08541941AB1AB341C87BB"/>
    <w:rsid w:val="004F2E96"/>
  </w:style>
  <w:style w:type="paragraph" w:customStyle="1" w:styleId="662E84C1260B5949A96C74F35FCB23FA">
    <w:name w:val="662E84C1260B5949A96C74F35FCB23FA"/>
    <w:rsid w:val="004F2E96"/>
  </w:style>
  <w:style w:type="paragraph" w:customStyle="1" w:styleId="097ABFA4D2496C4CB0DDF63AC3E48770">
    <w:name w:val="097ABFA4D2496C4CB0DDF63AC3E48770"/>
    <w:rsid w:val="004F2E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657D7C-3CE2-49F4-A60B-45F632CE83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3307</Words>
  <Characters>18853</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Braden Lewis</dc:creator>
  <cp:keywords/>
  <dc:description/>
  <cp:lastModifiedBy>Sherry Meador</cp:lastModifiedBy>
  <cp:revision>2</cp:revision>
  <dcterms:created xsi:type="dcterms:W3CDTF">2020-04-19T22:20:00Z</dcterms:created>
  <dcterms:modified xsi:type="dcterms:W3CDTF">2020-04-19T22:20:00Z</dcterms:modified>
</cp:coreProperties>
</file>