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59A1A" w14:textId="0295FCDE" w:rsidR="00B71BB5" w:rsidRDefault="0038729D" w:rsidP="0038729D">
      <w:pPr>
        <w:jc w:val="center"/>
        <w:rPr>
          <w:rFonts w:ascii="Calibri" w:hAnsi="Calibri"/>
          <w:b/>
          <w:sz w:val="40"/>
          <w:szCs w:val="40"/>
        </w:rPr>
      </w:pPr>
      <w:r w:rsidRPr="00490FC7">
        <w:rPr>
          <w:rFonts w:ascii="Calibri" w:hAnsi="Calibri"/>
          <w:b/>
          <w:sz w:val="40"/>
          <w:szCs w:val="40"/>
        </w:rPr>
        <w:t>Upper Missouri River Water Quality Report 202</w:t>
      </w:r>
      <w:r w:rsidR="007544BF">
        <w:rPr>
          <w:rFonts w:ascii="Calibri" w:hAnsi="Calibri"/>
          <w:b/>
          <w:sz w:val="40"/>
          <w:szCs w:val="40"/>
        </w:rPr>
        <w:t>4</w:t>
      </w:r>
      <w:r w:rsidRPr="00490FC7">
        <w:rPr>
          <w:rFonts w:ascii="Calibri" w:hAnsi="Calibri"/>
          <w:b/>
          <w:sz w:val="40"/>
          <w:szCs w:val="40"/>
        </w:rPr>
        <w:t>:</w:t>
      </w:r>
      <w:r>
        <w:rPr>
          <w:rFonts w:ascii="Calibri" w:hAnsi="Calibri"/>
          <w:b/>
          <w:sz w:val="40"/>
          <w:szCs w:val="40"/>
        </w:rPr>
        <w:t xml:space="preserve"> Sneak Peek</w:t>
      </w:r>
    </w:p>
    <w:p w14:paraId="25FC0C53" w14:textId="5BAC1EA3" w:rsidR="0038729D" w:rsidRPr="0038729D" w:rsidRDefault="0038729D" w:rsidP="0038729D">
      <w:pPr>
        <w:jc w:val="center"/>
        <w:rPr>
          <w:rFonts w:ascii="Calibri" w:hAnsi="Calibri"/>
          <w:b/>
          <w:sz w:val="24"/>
          <w:szCs w:val="24"/>
        </w:rPr>
      </w:pPr>
      <w:bookmarkStart w:id="0" w:name="_Hlk96840932"/>
      <w:bookmarkEnd w:id="0"/>
      <w:r>
        <w:rPr>
          <w:rFonts w:ascii="Calibri" w:hAnsi="Calibri"/>
          <w:b/>
          <w:sz w:val="24"/>
          <w:szCs w:val="24"/>
        </w:rPr>
        <w:t>Total Nitrogen reported seasonally in 202</w:t>
      </w:r>
      <w:r w:rsidR="00B50418">
        <w:rPr>
          <w:rFonts w:ascii="Calibri" w:hAnsi="Calibri"/>
          <w:b/>
          <w:sz w:val="24"/>
          <w:szCs w:val="24"/>
        </w:rPr>
        <w:t>4</w:t>
      </w:r>
      <w:r>
        <w:rPr>
          <w:rFonts w:ascii="Calibri" w:hAnsi="Calibri"/>
          <w:b/>
          <w:sz w:val="24"/>
          <w:szCs w:val="24"/>
        </w:rPr>
        <w:t xml:space="preserve">, exceedances of the old DEQ standard again reported in Fall </w:t>
      </w:r>
      <w:r w:rsidR="00B50418">
        <w:rPr>
          <w:rFonts w:ascii="Calibri" w:hAnsi="Calibri"/>
          <w:b/>
          <w:sz w:val="24"/>
          <w:szCs w:val="24"/>
        </w:rPr>
        <w:t xml:space="preserve">across most sites </w:t>
      </w:r>
      <w:r>
        <w:rPr>
          <w:rFonts w:ascii="Calibri" w:hAnsi="Calibri"/>
          <w:b/>
          <w:sz w:val="24"/>
          <w:szCs w:val="24"/>
        </w:rPr>
        <w:t xml:space="preserve">except at MO </w:t>
      </w:r>
      <w:r w:rsidR="00B50418">
        <w:rPr>
          <w:rFonts w:ascii="Calibri" w:hAnsi="Calibri"/>
          <w:b/>
          <w:sz w:val="24"/>
          <w:szCs w:val="24"/>
        </w:rPr>
        <w:t>up</w:t>
      </w:r>
      <w:r>
        <w:rPr>
          <w:rFonts w:ascii="Calibri" w:hAnsi="Calibri"/>
          <w:b/>
          <w:sz w:val="24"/>
          <w:szCs w:val="24"/>
        </w:rPr>
        <w:t>stream of Little Prickly Pear Creek</w:t>
      </w:r>
      <w:r w:rsidR="00B50418">
        <w:rPr>
          <w:rFonts w:ascii="Calibri" w:hAnsi="Calibri"/>
          <w:b/>
          <w:sz w:val="24"/>
          <w:szCs w:val="24"/>
        </w:rPr>
        <w:t xml:space="preserve"> in July and September</w:t>
      </w:r>
      <w:r w:rsidR="00611B2E">
        <w:rPr>
          <w:rFonts w:ascii="Calibri" w:hAnsi="Calibri"/>
          <w:b/>
          <w:sz w:val="24"/>
          <w:szCs w:val="24"/>
        </w:rPr>
        <w:t>, no Fall sample taken at Townsend.</w:t>
      </w:r>
    </w:p>
    <w:p w14:paraId="5CBCE48C" w14:textId="46AE3411" w:rsidR="00B50418" w:rsidRDefault="00B50418" w:rsidP="0038729D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169AE52" wp14:editId="24104599">
            <wp:simplePos x="0" y="0"/>
            <wp:positionH relativeFrom="margin">
              <wp:align>center</wp:align>
            </wp:positionH>
            <wp:positionV relativeFrom="margin">
              <wp:posOffset>1485900</wp:posOffset>
            </wp:positionV>
            <wp:extent cx="4758690" cy="3074035"/>
            <wp:effectExtent l="0" t="0" r="3810" b="0"/>
            <wp:wrapSquare wrapText="bothSides"/>
            <wp:docPr id="6547833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690" cy="307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D4B4FA" w14:textId="3615CFC1" w:rsidR="00B50418" w:rsidRDefault="00B50418" w:rsidP="0038729D">
      <w:pPr>
        <w:jc w:val="center"/>
      </w:pPr>
    </w:p>
    <w:p w14:paraId="6269521E" w14:textId="28C20B3D" w:rsidR="00B50418" w:rsidRDefault="00B50418" w:rsidP="0038729D">
      <w:pPr>
        <w:jc w:val="center"/>
      </w:pPr>
    </w:p>
    <w:p w14:paraId="3AACDCB5" w14:textId="5BE65740" w:rsidR="00B50418" w:rsidRDefault="00B50418" w:rsidP="0038729D">
      <w:pPr>
        <w:jc w:val="center"/>
      </w:pPr>
    </w:p>
    <w:p w14:paraId="3C1FC5C1" w14:textId="5A42F258" w:rsidR="00B50418" w:rsidRDefault="00B50418" w:rsidP="0038729D">
      <w:pPr>
        <w:jc w:val="center"/>
      </w:pPr>
    </w:p>
    <w:p w14:paraId="4E697E0F" w14:textId="385BE8A3" w:rsidR="00B50418" w:rsidRDefault="00B50418" w:rsidP="0038729D">
      <w:pPr>
        <w:jc w:val="center"/>
      </w:pPr>
    </w:p>
    <w:p w14:paraId="20637FBB" w14:textId="221BB072" w:rsidR="00B50418" w:rsidRDefault="00B50418" w:rsidP="0038729D">
      <w:pPr>
        <w:jc w:val="center"/>
      </w:pPr>
    </w:p>
    <w:p w14:paraId="2C89886A" w14:textId="77777777" w:rsidR="00B50418" w:rsidRDefault="00B50418" w:rsidP="0038729D">
      <w:pPr>
        <w:jc w:val="center"/>
      </w:pPr>
    </w:p>
    <w:p w14:paraId="31913F1C" w14:textId="57B754FD" w:rsidR="00B50418" w:rsidRDefault="00B50418" w:rsidP="0038729D">
      <w:pPr>
        <w:jc w:val="center"/>
      </w:pPr>
    </w:p>
    <w:p w14:paraId="1D15F479" w14:textId="0C802DE2" w:rsidR="00B50418" w:rsidRDefault="00B50418" w:rsidP="0038729D">
      <w:pPr>
        <w:jc w:val="center"/>
      </w:pPr>
    </w:p>
    <w:p w14:paraId="43E65910" w14:textId="2488BD18" w:rsidR="0038729D" w:rsidRDefault="0038729D" w:rsidP="0038729D">
      <w:pPr>
        <w:jc w:val="center"/>
      </w:pPr>
    </w:p>
    <w:p w14:paraId="4B63CB6B" w14:textId="443F82A6" w:rsidR="0038729D" w:rsidRPr="0038729D" w:rsidRDefault="00B50418" w:rsidP="0038729D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F34E160" wp14:editId="1C7FA2EA">
            <wp:simplePos x="0" y="0"/>
            <wp:positionH relativeFrom="margin">
              <wp:align>center</wp:align>
            </wp:positionH>
            <wp:positionV relativeFrom="margin">
              <wp:posOffset>5497830</wp:posOffset>
            </wp:positionV>
            <wp:extent cx="4413885" cy="2982595"/>
            <wp:effectExtent l="0" t="0" r="5715" b="8255"/>
            <wp:wrapSquare wrapText="bothSides"/>
            <wp:docPr id="832930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885" cy="298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729D">
        <w:rPr>
          <w:rFonts w:ascii="Calibri" w:hAnsi="Calibri"/>
          <w:b/>
          <w:sz w:val="24"/>
          <w:szCs w:val="24"/>
        </w:rPr>
        <w:t>Total Phosphorus reported seasonally in 202</w:t>
      </w:r>
      <w:r>
        <w:rPr>
          <w:rFonts w:ascii="Calibri" w:hAnsi="Calibri"/>
          <w:b/>
          <w:sz w:val="24"/>
          <w:szCs w:val="24"/>
        </w:rPr>
        <w:t>4</w:t>
      </w:r>
      <w:r w:rsidR="0038729D">
        <w:rPr>
          <w:rFonts w:ascii="Calibri" w:hAnsi="Calibri"/>
          <w:b/>
          <w:sz w:val="24"/>
          <w:szCs w:val="24"/>
        </w:rPr>
        <w:t xml:space="preserve">, exceedances of the old DEQ standard again reported in </w:t>
      </w:r>
      <w:r w:rsidR="003C5199">
        <w:rPr>
          <w:rFonts w:ascii="Calibri" w:hAnsi="Calibri"/>
          <w:b/>
          <w:sz w:val="24"/>
          <w:szCs w:val="24"/>
        </w:rPr>
        <w:t xml:space="preserve">the </w:t>
      </w:r>
      <w:r w:rsidR="0038729D">
        <w:rPr>
          <w:rFonts w:ascii="Calibri" w:hAnsi="Calibri"/>
          <w:b/>
          <w:sz w:val="24"/>
          <w:szCs w:val="24"/>
        </w:rPr>
        <w:t>Fall</w:t>
      </w:r>
      <w:r w:rsidR="003C5199">
        <w:rPr>
          <w:rFonts w:ascii="Calibri" w:hAnsi="Calibri"/>
          <w:b/>
          <w:sz w:val="24"/>
          <w:szCs w:val="24"/>
        </w:rPr>
        <w:t xml:space="preserve"> across most sites</w:t>
      </w:r>
      <w:r w:rsidR="002F6782">
        <w:rPr>
          <w:rFonts w:ascii="Calibri" w:hAnsi="Calibri"/>
          <w:b/>
          <w:sz w:val="24"/>
          <w:szCs w:val="24"/>
        </w:rPr>
        <w:t>,</w:t>
      </w:r>
      <w:r w:rsidR="0038729D">
        <w:rPr>
          <w:rFonts w:ascii="Calibri" w:hAnsi="Calibri"/>
          <w:b/>
          <w:sz w:val="24"/>
          <w:szCs w:val="24"/>
        </w:rPr>
        <w:t xml:space="preserve"> except </w:t>
      </w:r>
      <w:r w:rsidR="002F6782">
        <w:rPr>
          <w:rFonts w:ascii="Calibri" w:hAnsi="Calibri"/>
          <w:b/>
          <w:sz w:val="24"/>
          <w:szCs w:val="24"/>
        </w:rPr>
        <w:t xml:space="preserve">Spring </w:t>
      </w:r>
      <w:r w:rsidR="0038729D">
        <w:rPr>
          <w:rFonts w:ascii="Calibri" w:hAnsi="Calibri"/>
          <w:b/>
          <w:sz w:val="24"/>
          <w:szCs w:val="24"/>
        </w:rPr>
        <w:t xml:space="preserve">at MO </w:t>
      </w:r>
      <w:r>
        <w:rPr>
          <w:rFonts w:ascii="Calibri" w:hAnsi="Calibri"/>
          <w:b/>
          <w:sz w:val="24"/>
          <w:szCs w:val="24"/>
        </w:rPr>
        <w:t>Townsend</w:t>
      </w:r>
      <w:r w:rsidR="00611B2E">
        <w:rPr>
          <w:rFonts w:ascii="Calibri" w:hAnsi="Calibri"/>
          <w:b/>
          <w:sz w:val="24"/>
          <w:szCs w:val="24"/>
        </w:rPr>
        <w:t xml:space="preserve"> and </w:t>
      </w:r>
      <w:r w:rsidR="0038729D">
        <w:rPr>
          <w:rFonts w:ascii="Calibri" w:hAnsi="Calibri"/>
          <w:b/>
          <w:sz w:val="24"/>
          <w:szCs w:val="24"/>
        </w:rPr>
        <w:t>downstream of Little Prickly Pear Creek</w:t>
      </w:r>
      <w:r w:rsidR="002F6782">
        <w:rPr>
          <w:rFonts w:ascii="Calibri" w:hAnsi="Calibri"/>
          <w:b/>
          <w:sz w:val="24"/>
          <w:szCs w:val="24"/>
        </w:rPr>
        <w:t xml:space="preserve">. </w:t>
      </w:r>
      <w:r w:rsidR="00611B2E">
        <w:rPr>
          <w:rFonts w:ascii="Calibri" w:hAnsi="Calibri"/>
          <w:b/>
          <w:sz w:val="24"/>
          <w:szCs w:val="24"/>
        </w:rPr>
        <w:t xml:space="preserve">High TP values at MO_LPPC US were reported in both Summer and Fall, but other sites’ summer TP values were much lower, </w:t>
      </w:r>
      <w:proofErr w:type="spellStart"/>
      <w:r w:rsidR="00611B2E">
        <w:rPr>
          <w:rFonts w:ascii="Calibri" w:hAnsi="Calibri"/>
          <w:b/>
          <w:sz w:val="24"/>
          <w:szCs w:val="24"/>
        </w:rPr>
        <w:t>kinda</w:t>
      </w:r>
      <w:proofErr w:type="spellEnd"/>
      <w:r w:rsidR="00611B2E">
        <w:rPr>
          <w:rFonts w:ascii="Calibri" w:hAnsi="Calibri"/>
          <w:b/>
          <w:sz w:val="24"/>
          <w:szCs w:val="24"/>
        </w:rPr>
        <w:t xml:space="preserve"> weird!!</w:t>
      </w:r>
    </w:p>
    <w:sectPr w:rsidR="0038729D" w:rsidRPr="003872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29D"/>
    <w:rsid w:val="000B2EC5"/>
    <w:rsid w:val="002A1FFC"/>
    <w:rsid w:val="002F6782"/>
    <w:rsid w:val="0038729D"/>
    <w:rsid w:val="003C5199"/>
    <w:rsid w:val="00611B2E"/>
    <w:rsid w:val="0074250A"/>
    <w:rsid w:val="007544BF"/>
    <w:rsid w:val="00857C9C"/>
    <w:rsid w:val="008F1975"/>
    <w:rsid w:val="00B50418"/>
    <w:rsid w:val="00B71BB5"/>
    <w:rsid w:val="00B74EEC"/>
    <w:rsid w:val="00E244CA"/>
    <w:rsid w:val="00EF4A34"/>
    <w:rsid w:val="00F4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0A1BD"/>
  <w15:chartTrackingRefBased/>
  <w15:docId w15:val="{73840616-736E-4139-AC29-D0328F707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Stagliano</dc:creator>
  <cp:keywords/>
  <dc:description/>
  <cp:lastModifiedBy>Sherry Meador</cp:lastModifiedBy>
  <cp:revision>2</cp:revision>
  <dcterms:created xsi:type="dcterms:W3CDTF">2025-03-28T15:26:00Z</dcterms:created>
  <dcterms:modified xsi:type="dcterms:W3CDTF">2025-03-28T15:26:00Z</dcterms:modified>
</cp:coreProperties>
</file>